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D90" w:rsidRDefault="00264D90" w:rsidP="00264D90">
      <w:pPr>
        <w:rPr>
          <w:rFonts w:ascii="David" w:hAnsi="David"/>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64D90" w:rsidTr="00264D90">
        <w:trPr>
          <w:jc w:val="center"/>
        </w:trPr>
        <w:tc>
          <w:tcPr>
            <w:tcW w:w="743" w:type="dxa"/>
            <w:hideMark/>
          </w:tcPr>
          <w:p w:rsidR="00264D90" w:rsidRPr="0065106A" w:rsidRDefault="00264D90">
            <w:pPr>
              <w:jc w:val="both"/>
              <w:rPr>
                <w:rFonts w:ascii="David" w:hAnsi="David"/>
                <w:b/>
                <w:bCs/>
              </w:rPr>
            </w:pPr>
            <w:r w:rsidRPr="0065106A">
              <w:rPr>
                <w:rFonts w:ascii="David" w:hAnsi="David"/>
                <w:b/>
                <w:bCs/>
                <w:rtl/>
              </w:rPr>
              <w:t xml:space="preserve">בפני </w:t>
            </w:r>
          </w:p>
        </w:tc>
        <w:tc>
          <w:tcPr>
            <w:tcW w:w="8077" w:type="dxa"/>
            <w:gridSpan w:val="2"/>
          </w:tcPr>
          <w:p w:rsidR="00264D90" w:rsidRPr="0065106A" w:rsidRDefault="00264D90">
            <w:pPr>
              <w:rPr>
                <w:rFonts w:ascii="David" w:hAnsi="David"/>
                <w:b/>
                <w:bCs/>
              </w:rPr>
            </w:pPr>
            <w:r w:rsidRPr="0065106A">
              <w:rPr>
                <w:rFonts w:ascii="David" w:hAnsi="David"/>
                <w:b/>
                <w:bCs/>
                <w:rtl/>
              </w:rPr>
              <w:t>כב' ה</w:t>
            </w:r>
            <w:sdt>
              <w:sdtPr>
                <w:rPr>
                  <w:rFonts w:ascii="David" w:hAnsi="David"/>
                  <w:b/>
                  <w:bCs/>
                  <w:rtl/>
                </w:rPr>
                <w:alias w:val="1574"/>
                <w:tag w:val="1574"/>
                <w:id w:val="490379987"/>
                <w:text w:multiLine="1"/>
              </w:sdtPr>
              <w:sdtEndPr/>
              <w:sdtContent>
                <w:r w:rsidRPr="0065106A">
                  <w:rPr>
                    <w:rFonts w:ascii="David" w:hAnsi="David"/>
                    <w:b/>
                    <w:bCs/>
                    <w:rtl/>
                  </w:rPr>
                  <w:t>שופט</w:t>
                </w:r>
              </w:sdtContent>
            </w:sdt>
            <w:r w:rsidRPr="0065106A">
              <w:rPr>
                <w:rFonts w:ascii="David" w:hAnsi="David"/>
                <w:b/>
                <w:bCs/>
                <w:rtl/>
              </w:rPr>
              <w:t xml:space="preserve">  </w:t>
            </w:r>
            <w:sdt>
              <w:sdtPr>
                <w:rPr>
                  <w:rFonts w:ascii="David" w:hAnsi="David"/>
                  <w:b/>
                  <w:bCs/>
                  <w:rtl/>
                </w:rPr>
                <w:alias w:val="1573"/>
                <w:tag w:val="1573"/>
                <w:id w:val="-180202431"/>
                <w:text w:multiLine="1"/>
              </w:sdtPr>
              <w:sdtEndPr/>
              <w:sdtContent>
                <w:r w:rsidRPr="0065106A">
                  <w:rPr>
                    <w:rFonts w:ascii="David" w:hAnsi="David"/>
                    <w:b/>
                    <w:bCs/>
                    <w:rtl/>
                  </w:rPr>
                  <w:t>אביגדור דורות</w:t>
                </w:r>
              </w:sdtContent>
            </w:sdt>
            <w:r w:rsidRPr="0065106A">
              <w:rPr>
                <w:rFonts w:ascii="David" w:hAnsi="David"/>
                <w:b/>
                <w:bCs/>
                <w:rtl/>
              </w:rPr>
              <w:t xml:space="preserve">- </w:t>
            </w:r>
            <w:r w:rsidRPr="0065106A">
              <w:rPr>
                <w:rFonts w:ascii="David" w:hAnsi="David"/>
                <w:b/>
                <w:bCs/>
                <w:noProof w:val="0"/>
                <w:rtl/>
              </w:rPr>
              <w:t>יו"ר ה</w:t>
            </w:r>
            <w:r w:rsidR="0061325C">
              <w:rPr>
                <w:rFonts w:ascii="David" w:hAnsi="David" w:hint="cs"/>
                <w:b/>
                <w:bCs/>
                <w:noProof w:val="0"/>
                <w:rtl/>
              </w:rPr>
              <w:t>ו</w:t>
            </w:r>
            <w:r w:rsidRPr="0065106A">
              <w:rPr>
                <w:rFonts w:ascii="David" w:hAnsi="David"/>
                <w:b/>
                <w:bCs/>
                <w:noProof w:val="0"/>
                <w:rtl/>
              </w:rPr>
              <w:t>ועדה</w:t>
            </w:r>
          </w:p>
          <w:p w:rsidR="00264D90" w:rsidRPr="0065106A" w:rsidRDefault="0065106A">
            <w:pPr>
              <w:rPr>
                <w:rFonts w:ascii="David" w:hAnsi="David"/>
                <w:b/>
                <w:bCs/>
                <w:noProof w:val="0"/>
                <w:rtl/>
              </w:rPr>
            </w:pPr>
            <w:r w:rsidRPr="0065106A">
              <w:rPr>
                <w:rFonts w:ascii="David" w:hAnsi="David" w:hint="cs"/>
                <w:b/>
                <w:bCs/>
                <w:noProof w:val="0"/>
                <w:rtl/>
              </w:rPr>
              <w:t>רו"ח שלמה מדהלה</w:t>
            </w:r>
            <w:r w:rsidRPr="0065106A">
              <w:rPr>
                <w:rFonts w:ascii="David" w:hAnsi="David"/>
                <w:b/>
                <w:bCs/>
                <w:noProof w:val="0"/>
                <w:rtl/>
              </w:rPr>
              <w:t xml:space="preserve"> – חבר</w:t>
            </w:r>
            <w:r w:rsidR="00264D90" w:rsidRPr="0065106A">
              <w:rPr>
                <w:rFonts w:ascii="David" w:hAnsi="David"/>
                <w:b/>
                <w:bCs/>
                <w:noProof w:val="0"/>
                <w:rtl/>
              </w:rPr>
              <w:t xml:space="preserve"> ועדה    </w:t>
            </w:r>
          </w:p>
          <w:p w:rsidR="0065106A" w:rsidRPr="0065106A" w:rsidRDefault="0065106A">
            <w:pPr>
              <w:rPr>
                <w:rFonts w:ascii="David" w:hAnsi="David"/>
                <w:b/>
                <w:bCs/>
                <w:noProof w:val="0"/>
              </w:rPr>
            </w:pPr>
            <w:r w:rsidRPr="0065106A">
              <w:rPr>
                <w:rFonts w:ascii="David" w:hAnsi="David" w:hint="cs"/>
                <w:b/>
                <w:bCs/>
                <w:noProof w:val="0"/>
                <w:rtl/>
              </w:rPr>
              <w:t xml:space="preserve">שמאית </w:t>
            </w:r>
            <w:r w:rsidR="00366D6A">
              <w:rPr>
                <w:rFonts w:ascii="David" w:hAnsi="David" w:hint="cs"/>
                <w:b/>
                <w:bCs/>
                <w:noProof w:val="0"/>
                <w:rtl/>
              </w:rPr>
              <w:t>אריאלה אקשטיין- חברת ו</w:t>
            </w:r>
            <w:r w:rsidRPr="0065106A">
              <w:rPr>
                <w:rFonts w:ascii="David" w:hAnsi="David" w:hint="cs"/>
                <w:b/>
                <w:bCs/>
                <w:noProof w:val="0"/>
                <w:rtl/>
              </w:rPr>
              <w:t>עדה</w:t>
            </w:r>
          </w:p>
          <w:p w:rsidR="00264D90" w:rsidRPr="0065106A" w:rsidRDefault="00264D90">
            <w:pPr>
              <w:rPr>
                <w:rFonts w:ascii="David" w:hAnsi="David"/>
                <w:b/>
                <w:bCs/>
                <w:sz w:val="28"/>
                <w:szCs w:val="28"/>
                <w:highlight w:val="yellow"/>
                <w:rtl/>
              </w:rPr>
            </w:pPr>
          </w:p>
        </w:tc>
      </w:tr>
      <w:tr w:rsidR="00264D90" w:rsidTr="00264D90">
        <w:trPr>
          <w:jc w:val="center"/>
        </w:trPr>
        <w:tc>
          <w:tcPr>
            <w:tcW w:w="3249" w:type="dxa"/>
            <w:gridSpan w:val="2"/>
          </w:tcPr>
          <w:p w:rsidR="00264D90" w:rsidRPr="0065106A" w:rsidRDefault="00264D90">
            <w:pPr>
              <w:bidi w:val="0"/>
              <w:jc w:val="right"/>
              <w:rPr>
                <w:rFonts w:ascii="David" w:hAnsi="David"/>
                <w:b/>
                <w:bCs/>
                <w:noProof w:val="0"/>
                <w:sz w:val="26"/>
                <w:szCs w:val="26"/>
                <w:u w:val="single"/>
                <w:rtl/>
              </w:rPr>
            </w:pPr>
          </w:p>
          <w:sdt>
            <w:sdtPr>
              <w:rPr>
                <w:rFonts w:ascii="David" w:hAnsi="David"/>
                <w:u w:val="single"/>
              </w:rPr>
              <w:alias w:val="1180"/>
              <w:tag w:val="1180"/>
              <w:id w:val="-1095320858"/>
              <w:text w:multiLine="1"/>
            </w:sdtPr>
            <w:sdtEndPr/>
            <w:sdtContent>
              <w:p w:rsidR="00264D90" w:rsidRPr="0065106A" w:rsidRDefault="00264D90" w:rsidP="0065106A">
                <w:pPr>
                  <w:bidi w:val="0"/>
                  <w:jc w:val="right"/>
                  <w:rPr>
                    <w:rFonts w:ascii="David" w:hAnsi="David"/>
                    <w:b/>
                    <w:bCs/>
                    <w:noProof w:val="0"/>
                    <w:sz w:val="26"/>
                    <w:szCs w:val="26"/>
                    <w:u w:val="single"/>
                  </w:rPr>
                </w:pPr>
                <w:r w:rsidRPr="0065106A">
                  <w:rPr>
                    <w:rFonts w:ascii="David" w:hAnsi="David"/>
                    <w:b/>
                    <w:bCs/>
                    <w:noProof w:val="0"/>
                    <w:sz w:val="26"/>
                    <w:szCs w:val="26"/>
                    <w:u w:val="single"/>
                    <w:rtl/>
                  </w:rPr>
                  <w:t>העוררים</w:t>
                </w:r>
                <w:r w:rsidR="0065106A" w:rsidRPr="0065106A">
                  <w:rPr>
                    <w:rFonts w:ascii="David" w:hAnsi="David" w:hint="cs"/>
                    <w:b/>
                    <w:bCs/>
                    <w:noProof w:val="0"/>
                    <w:sz w:val="26"/>
                    <w:szCs w:val="26"/>
                    <w:u w:val="single"/>
                    <w:rtl/>
                  </w:rPr>
                  <w:t>:</w:t>
                </w:r>
              </w:p>
            </w:sdtContent>
          </w:sdt>
        </w:tc>
        <w:tc>
          <w:tcPr>
            <w:tcW w:w="5571" w:type="dxa"/>
          </w:tcPr>
          <w:p w:rsidR="00264D90" w:rsidRDefault="00264D90">
            <w:pPr>
              <w:rPr>
                <w:rFonts w:ascii="David" w:hAnsi="David"/>
                <w:b/>
                <w:bCs/>
                <w:noProof w:val="0"/>
                <w:sz w:val="26"/>
                <w:szCs w:val="26"/>
              </w:rPr>
            </w:pPr>
          </w:p>
          <w:p w:rsidR="00264D90" w:rsidRDefault="008E1779">
            <w:pPr>
              <w:rPr>
                <w:rFonts w:ascii="David" w:hAnsi="David"/>
                <w:b/>
                <w:bCs/>
                <w:noProof w:val="0"/>
                <w:sz w:val="26"/>
                <w:szCs w:val="26"/>
                <w:rtl/>
              </w:rPr>
            </w:pPr>
            <w:sdt>
              <w:sdtPr>
                <w:rPr>
                  <w:rFonts w:ascii="David" w:hAnsi="David"/>
                  <w:rtl/>
                </w:rPr>
                <w:alias w:val="1462"/>
                <w:tag w:val="1462"/>
                <w:id w:val="1803425280"/>
                <w:text w:multiLine="1"/>
              </w:sdtPr>
              <w:sdtEndPr/>
              <w:sdtContent>
                <w:r w:rsidR="00264D90">
                  <w:rPr>
                    <w:rFonts w:ascii="David" w:hAnsi="David"/>
                    <w:b/>
                    <w:bCs/>
                    <w:noProof w:val="0"/>
                    <w:sz w:val="26"/>
                    <w:szCs w:val="26"/>
                    <w:rtl/>
                  </w:rPr>
                  <w:t>1</w:t>
                </w:r>
              </w:sdtContent>
            </w:sdt>
            <w:r w:rsidR="00264D90">
              <w:rPr>
                <w:rFonts w:ascii="David" w:hAnsi="David"/>
                <w:b/>
                <w:bCs/>
                <w:noProof w:val="0"/>
                <w:sz w:val="26"/>
                <w:szCs w:val="26"/>
                <w:rtl/>
              </w:rPr>
              <w:t>.</w:t>
            </w:r>
            <w:sdt>
              <w:sdtPr>
                <w:rPr>
                  <w:rFonts w:ascii="David" w:hAnsi="David"/>
                  <w:rtl/>
                </w:rPr>
                <w:alias w:val="1478"/>
                <w:tag w:val="1478"/>
                <w:id w:val="406741000"/>
                <w:text w:multiLine="1"/>
              </w:sdtPr>
              <w:sdtEndPr/>
              <w:sdtContent>
                <w:r w:rsidR="00264D90">
                  <w:rPr>
                    <w:rFonts w:ascii="David" w:hAnsi="David"/>
                    <w:b/>
                    <w:bCs/>
                    <w:noProof w:val="0"/>
                    <w:sz w:val="26"/>
                    <w:szCs w:val="26"/>
                    <w:rtl/>
                  </w:rPr>
                  <w:t>גיל יחיאל אלמליח</w:t>
                </w:r>
              </w:sdtContent>
            </w:sdt>
          </w:p>
          <w:p w:rsidR="00264D90" w:rsidRDefault="008E1779">
            <w:pPr>
              <w:rPr>
                <w:rFonts w:ascii="David" w:hAnsi="David"/>
                <w:b/>
                <w:bCs/>
                <w:noProof w:val="0"/>
                <w:sz w:val="26"/>
                <w:szCs w:val="26"/>
              </w:rPr>
            </w:pPr>
            <w:sdt>
              <w:sdtPr>
                <w:rPr>
                  <w:rFonts w:ascii="David" w:hAnsi="David"/>
                  <w:rtl/>
                </w:rPr>
                <w:alias w:val="1462"/>
                <w:tag w:val="1462"/>
                <w:id w:val="-1171259525"/>
                <w:text w:multiLine="1"/>
              </w:sdtPr>
              <w:sdtEndPr/>
              <w:sdtContent>
                <w:r w:rsidR="00264D90">
                  <w:rPr>
                    <w:rFonts w:ascii="David" w:hAnsi="David"/>
                    <w:b/>
                    <w:bCs/>
                    <w:noProof w:val="0"/>
                    <w:sz w:val="26"/>
                    <w:szCs w:val="26"/>
                    <w:rtl/>
                  </w:rPr>
                  <w:t>2</w:t>
                </w:r>
              </w:sdtContent>
            </w:sdt>
            <w:r w:rsidR="00264D90">
              <w:rPr>
                <w:rFonts w:ascii="David" w:hAnsi="David"/>
                <w:b/>
                <w:bCs/>
                <w:noProof w:val="0"/>
                <w:sz w:val="26"/>
                <w:szCs w:val="26"/>
                <w:rtl/>
              </w:rPr>
              <w:t>.</w:t>
            </w:r>
            <w:sdt>
              <w:sdtPr>
                <w:rPr>
                  <w:rFonts w:ascii="David" w:hAnsi="David"/>
                  <w:rtl/>
                </w:rPr>
                <w:alias w:val="1478"/>
                <w:tag w:val="1478"/>
                <w:id w:val="173617573"/>
                <w:text w:multiLine="1"/>
              </w:sdtPr>
              <w:sdtEndPr/>
              <w:sdtContent>
                <w:r w:rsidR="00264D90">
                  <w:rPr>
                    <w:rFonts w:ascii="David" w:hAnsi="David"/>
                    <w:b/>
                    <w:bCs/>
                    <w:noProof w:val="0"/>
                    <w:sz w:val="26"/>
                    <w:szCs w:val="26"/>
                    <w:rtl/>
                  </w:rPr>
                  <w:t>מישל פיי אלמליח</w:t>
                </w:r>
              </w:sdtContent>
            </w:sdt>
          </w:p>
        </w:tc>
      </w:tr>
      <w:tr w:rsidR="00264D90" w:rsidTr="00264D90">
        <w:trPr>
          <w:jc w:val="center"/>
        </w:trPr>
        <w:tc>
          <w:tcPr>
            <w:tcW w:w="8820" w:type="dxa"/>
            <w:gridSpan w:val="3"/>
          </w:tcPr>
          <w:p w:rsidR="00264D90" w:rsidRDefault="00264D90">
            <w:pPr>
              <w:tabs>
                <w:tab w:val="left" w:pos="3279"/>
              </w:tabs>
              <w:rPr>
                <w:rFonts w:ascii="David" w:hAnsi="David"/>
                <w:noProof w:val="0"/>
              </w:rPr>
            </w:pPr>
            <w:r>
              <w:rPr>
                <w:rFonts w:ascii="David" w:hAnsi="David"/>
                <w:b/>
                <w:bCs/>
                <w:noProof w:val="0"/>
                <w:sz w:val="26"/>
                <w:szCs w:val="26"/>
                <w:rtl/>
              </w:rPr>
              <w:tab/>
            </w:r>
            <w:r>
              <w:rPr>
                <w:rFonts w:ascii="David" w:hAnsi="David"/>
                <w:noProof w:val="0"/>
                <w:rtl/>
              </w:rPr>
              <w:t>ע"י ב"כ עו"ד שלומי אשכנזי</w:t>
            </w:r>
          </w:p>
          <w:p w:rsidR="00264D90" w:rsidRDefault="00264D90">
            <w:pPr>
              <w:rPr>
                <w:rFonts w:ascii="David" w:hAnsi="David"/>
                <w:noProof w:val="0"/>
              </w:rPr>
            </w:pPr>
          </w:p>
          <w:p w:rsidR="00264D90" w:rsidRDefault="00264D90">
            <w:pPr>
              <w:jc w:val="center"/>
              <w:rPr>
                <w:rFonts w:ascii="David" w:hAnsi="David"/>
                <w:b/>
                <w:bCs/>
                <w:noProof w:val="0"/>
                <w:sz w:val="26"/>
                <w:szCs w:val="26"/>
                <w:rtl/>
              </w:rPr>
            </w:pPr>
            <w:r>
              <w:rPr>
                <w:rFonts w:ascii="David" w:hAnsi="David"/>
                <w:b/>
                <w:bCs/>
                <w:noProof w:val="0"/>
                <w:sz w:val="26"/>
                <w:szCs w:val="26"/>
                <w:rtl/>
              </w:rPr>
              <w:t>נגד</w:t>
            </w:r>
          </w:p>
          <w:p w:rsidR="00264D90" w:rsidRDefault="00264D90">
            <w:pPr>
              <w:rPr>
                <w:rFonts w:ascii="David" w:hAnsi="David"/>
                <w:b/>
                <w:bCs/>
                <w:noProof w:val="0"/>
                <w:sz w:val="26"/>
                <w:szCs w:val="26"/>
                <w:rtl/>
              </w:rPr>
            </w:pPr>
          </w:p>
        </w:tc>
      </w:tr>
      <w:tr w:rsidR="00264D90" w:rsidTr="00264D90">
        <w:trPr>
          <w:jc w:val="center"/>
        </w:trPr>
        <w:tc>
          <w:tcPr>
            <w:tcW w:w="3249" w:type="dxa"/>
            <w:gridSpan w:val="2"/>
          </w:tcPr>
          <w:p w:rsidR="00264D90" w:rsidRDefault="00264D90">
            <w:pPr>
              <w:rPr>
                <w:rFonts w:ascii="David" w:hAnsi="David"/>
                <w:b/>
                <w:bCs/>
                <w:noProof w:val="0"/>
                <w:sz w:val="26"/>
                <w:szCs w:val="26"/>
                <w:rtl/>
              </w:rPr>
            </w:pPr>
          </w:p>
          <w:p w:rsidR="00264D90" w:rsidRDefault="008E1779">
            <w:pPr>
              <w:rPr>
                <w:rFonts w:ascii="David" w:hAnsi="David"/>
                <w:b/>
                <w:bCs/>
                <w:noProof w:val="0"/>
                <w:sz w:val="26"/>
                <w:szCs w:val="26"/>
              </w:rPr>
            </w:pPr>
            <w:sdt>
              <w:sdtPr>
                <w:rPr>
                  <w:rFonts w:ascii="David" w:hAnsi="David"/>
                  <w:u w:val="single"/>
                  <w:rtl/>
                </w:rPr>
                <w:alias w:val="1184"/>
                <w:tag w:val="1184"/>
                <w:id w:val="-1990013329"/>
                <w:text w:multiLine="1"/>
              </w:sdtPr>
              <w:sdtEndPr/>
              <w:sdtContent>
                <w:r w:rsidR="00264D90" w:rsidRPr="0065106A">
                  <w:rPr>
                    <w:rFonts w:ascii="David" w:hAnsi="David"/>
                    <w:b/>
                    <w:bCs/>
                    <w:noProof w:val="0"/>
                    <w:sz w:val="26"/>
                    <w:szCs w:val="26"/>
                    <w:u w:val="single"/>
                    <w:rtl/>
                  </w:rPr>
                  <w:t>המשיב</w:t>
                </w:r>
                <w:r w:rsidR="0065106A">
                  <w:rPr>
                    <w:rFonts w:ascii="David" w:hAnsi="David" w:hint="cs"/>
                    <w:u w:val="single"/>
                    <w:rtl/>
                  </w:rPr>
                  <w:t>:</w:t>
                </w:r>
              </w:sdtContent>
            </w:sdt>
          </w:p>
        </w:tc>
        <w:tc>
          <w:tcPr>
            <w:tcW w:w="5571" w:type="dxa"/>
          </w:tcPr>
          <w:p w:rsidR="00264D90" w:rsidRDefault="00264D90">
            <w:pPr>
              <w:rPr>
                <w:rFonts w:ascii="David" w:hAnsi="David"/>
                <w:b/>
                <w:bCs/>
                <w:noProof w:val="0"/>
                <w:sz w:val="26"/>
                <w:szCs w:val="26"/>
                <w:rtl/>
              </w:rPr>
            </w:pPr>
          </w:p>
          <w:p w:rsidR="00264D90" w:rsidRDefault="008E1779">
            <w:pPr>
              <w:rPr>
                <w:rFonts w:ascii="David" w:hAnsi="David"/>
                <w:b/>
                <w:bCs/>
                <w:noProof w:val="0"/>
                <w:sz w:val="26"/>
                <w:szCs w:val="26"/>
              </w:rPr>
            </w:pPr>
            <w:sdt>
              <w:sdtPr>
                <w:rPr>
                  <w:rFonts w:ascii="David" w:hAnsi="David"/>
                  <w:b/>
                  <w:bCs/>
                  <w:noProof w:val="0"/>
                  <w:rtl/>
                </w:rPr>
                <w:alias w:val="1486"/>
                <w:tag w:val="1486"/>
                <w:id w:val="93903891"/>
                <w:text w:multiLine="1"/>
              </w:sdtPr>
              <w:sdtEndPr/>
              <w:sdtContent>
                <w:r w:rsidR="00264D90">
                  <w:rPr>
                    <w:rFonts w:ascii="David" w:hAnsi="David"/>
                    <w:b/>
                    <w:bCs/>
                    <w:noProof w:val="0"/>
                    <w:rtl/>
                  </w:rPr>
                  <w:t>מנהל מיסוי מקרקעין- ירושלים</w:t>
                </w:r>
              </w:sdtContent>
            </w:sdt>
          </w:p>
        </w:tc>
      </w:tr>
    </w:tbl>
    <w:p w:rsidR="00264D90" w:rsidRDefault="00264D90" w:rsidP="00264D90">
      <w:pPr>
        <w:rPr>
          <w:rFonts w:ascii="David" w:hAnsi="David"/>
          <w:noProof w:val="0"/>
          <w:rtl/>
        </w:rPr>
      </w:pPr>
      <w:r>
        <w:rPr>
          <w:rFonts w:ascii="David" w:hAnsi="David"/>
          <w:noProof w:val="0"/>
          <w:rtl/>
        </w:rPr>
        <w:t xml:space="preserve">                                                            ע"י ב"כ עו"ד גילה קרמר,</w:t>
      </w:r>
    </w:p>
    <w:p w:rsidR="00264D90" w:rsidRDefault="00264D90" w:rsidP="00264D90">
      <w:pPr>
        <w:rPr>
          <w:rFonts w:ascii="David" w:hAnsi="David"/>
          <w:rtl/>
        </w:rPr>
      </w:pPr>
      <w:r>
        <w:rPr>
          <w:rFonts w:ascii="David" w:hAnsi="David"/>
          <w:noProof w:val="0"/>
          <w:rtl/>
        </w:rPr>
        <w:t xml:space="preserve">                                                            מפרקליטות מחוז ירושלים (אזרחי)</w:t>
      </w:r>
    </w:p>
    <w:p w:rsidR="00264D90" w:rsidRDefault="00264D90" w:rsidP="00264D90">
      <w:pPr>
        <w:rPr>
          <w:rFonts w:ascii="David" w:hAnsi="David"/>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64D90" w:rsidTr="00264D90">
        <w:trPr>
          <w:jc w:val="center"/>
        </w:trPr>
        <w:tc>
          <w:tcPr>
            <w:tcW w:w="8820" w:type="dxa"/>
            <w:hideMark/>
          </w:tcPr>
          <w:p w:rsidR="00F63439" w:rsidRDefault="00F63439">
            <w:pPr>
              <w:bidi w:val="0"/>
              <w:jc w:val="center"/>
              <w:rPr>
                <w:rFonts w:ascii="David" w:hAnsi="David"/>
                <w:b/>
                <w:bCs/>
                <w:noProof w:val="0"/>
                <w:sz w:val="28"/>
                <w:szCs w:val="28"/>
                <w:u w:val="single"/>
                <w:rtl/>
              </w:rPr>
            </w:pPr>
          </w:p>
          <w:p w:rsidR="00264D90" w:rsidRDefault="00264D90" w:rsidP="00F63439">
            <w:pPr>
              <w:bidi w:val="0"/>
              <w:jc w:val="center"/>
              <w:rPr>
                <w:rFonts w:ascii="David" w:hAnsi="David"/>
                <w:b/>
                <w:bCs/>
                <w:noProof w:val="0"/>
                <w:sz w:val="28"/>
                <w:szCs w:val="28"/>
                <w:u w:val="single"/>
              </w:rPr>
            </w:pPr>
            <w:r>
              <w:rPr>
                <w:rFonts w:ascii="David" w:hAnsi="David"/>
                <w:b/>
                <w:bCs/>
                <w:noProof w:val="0"/>
                <w:sz w:val="28"/>
                <w:szCs w:val="28"/>
                <w:u w:val="single"/>
                <w:rtl/>
              </w:rPr>
              <w:t>פסק דין</w:t>
            </w:r>
          </w:p>
        </w:tc>
      </w:tr>
    </w:tbl>
    <w:p w:rsidR="00264D90" w:rsidRDefault="00264D90" w:rsidP="00264D90">
      <w:pPr>
        <w:spacing w:line="360" w:lineRule="auto"/>
        <w:jc w:val="both"/>
        <w:rPr>
          <w:rFonts w:ascii="David" w:hAnsi="David"/>
          <w:noProof w:val="0"/>
        </w:rPr>
      </w:pPr>
    </w:p>
    <w:p w:rsidR="00264D90" w:rsidRDefault="00264D90" w:rsidP="00264D90">
      <w:pPr>
        <w:spacing w:line="360" w:lineRule="auto"/>
        <w:jc w:val="both"/>
        <w:rPr>
          <w:rFonts w:ascii="David" w:hAnsi="David"/>
          <w:noProof w:val="0"/>
          <w:rtl/>
        </w:rPr>
      </w:pPr>
      <w:r>
        <w:rPr>
          <w:rFonts w:ascii="David" w:hAnsi="David"/>
          <w:b/>
          <w:bCs/>
          <w:noProof w:val="0"/>
          <w:u w:val="single"/>
          <w:rtl/>
        </w:rPr>
        <w:t>יו"ר הוועדה, השופט אביגדור דורות:</w:t>
      </w:r>
    </w:p>
    <w:p w:rsidR="00264D90" w:rsidRDefault="00264D90" w:rsidP="00264D90">
      <w:pPr>
        <w:pStyle w:val="ad"/>
        <w:numPr>
          <w:ilvl w:val="0"/>
          <w:numId w:val="2"/>
        </w:numPr>
        <w:spacing w:line="360" w:lineRule="auto"/>
        <w:jc w:val="both"/>
        <w:rPr>
          <w:rFonts w:ascii="David" w:hAnsi="David"/>
          <w:noProof w:val="0"/>
          <w:rtl/>
        </w:rPr>
      </w:pPr>
      <w:r>
        <w:rPr>
          <w:rFonts w:ascii="David" w:hAnsi="David"/>
          <w:noProof w:val="0"/>
          <w:rtl/>
        </w:rPr>
        <w:t>לפנינו ערר לפי סעיף 89(ב) לחוק מיסוי מקרקעין (שבח ורכישה) תשכ"ג-1963 (להלן: "</w:t>
      </w:r>
      <w:r>
        <w:rPr>
          <w:rFonts w:ascii="David" w:hAnsi="David"/>
          <w:b/>
          <w:bCs/>
          <w:noProof w:val="0"/>
          <w:rtl/>
        </w:rPr>
        <w:t>חוק מסמ"ק</w:t>
      </w:r>
      <w:r>
        <w:rPr>
          <w:rFonts w:ascii="David" w:hAnsi="David"/>
          <w:noProof w:val="0"/>
          <w:rtl/>
        </w:rPr>
        <w:t>"), על החלטת מנהל מיסוי מקרקעין (להלן: "</w:t>
      </w:r>
      <w:r>
        <w:rPr>
          <w:rFonts w:ascii="David" w:hAnsi="David"/>
          <w:b/>
          <w:bCs/>
          <w:noProof w:val="0"/>
          <w:rtl/>
        </w:rPr>
        <w:t>המשיב</w:t>
      </w:r>
      <w:r>
        <w:rPr>
          <w:rFonts w:ascii="David" w:hAnsi="David"/>
          <w:noProof w:val="0"/>
          <w:rtl/>
        </w:rPr>
        <w:t>") מיום 14.2.21 לדחות את השגת העוררים 1 ו-2 (להלן: "</w:t>
      </w:r>
      <w:r>
        <w:rPr>
          <w:rFonts w:ascii="David" w:hAnsi="David"/>
          <w:b/>
          <w:bCs/>
          <w:noProof w:val="0"/>
          <w:rtl/>
        </w:rPr>
        <w:t>העוררים</w:t>
      </w:r>
      <w:r>
        <w:rPr>
          <w:rFonts w:ascii="David" w:hAnsi="David"/>
          <w:noProof w:val="0"/>
          <w:rtl/>
        </w:rPr>
        <w:t>") בנוגע לשומה מספר 120137203 שהוצאה בגין רכישת דירה שביצעו העוררים ביום 20.7.20.</w:t>
      </w:r>
    </w:p>
    <w:p w:rsidR="00264D90" w:rsidRDefault="00264D90" w:rsidP="00264D90">
      <w:pPr>
        <w:spacing w:line="360" w:lineRule="auto"/>
        <w:jc w:val="both"/>
        <w:rPr>
          <w:rFonts w:ascii="David" w:hAnsi="David"/>
          <w:noProof w:val="0"/>
        </w:rPr>
      </w:pPr>
    </w:p>
    <w:p w:rsidR="00264D90" w:rsidRDefault="00264D90" w:rsidP="00264D90">
      <w:pPr>
        <w:rPr>
          <w:rFonts w:ascii="David" w:hAnsi="David"/>
          <w:b/>
          <w:bCs/>
          <w:noProof w:val="0"/>
          <w:u w:val="single"/>
          <w:rtl/>
        </w:rPr>
      </w:pPr>
      <w:r>
        <w:rPr>
          <w:rFonts w:ascii="David" w:hAnsi="David"/>
          <w:b/>
          <w:bCs/>
          <w:noProof w:val="0"/>
          <w:u w:val="single"/>
          <w:rtl/>
        </w:rPr>
        <w:t>הרקע העובדתי</w:t>
      </w:r>
    </w:p>
    <w:p w:rsidR="00264D90" w:rsidRDefault="00264D90" w:rsidP="00264D90">
      <w:pPr>
        <w:rPr>
          <w:rFonts w:ascii="David" w:hAnsi="David"/>
          <w:b/>
          <w:bCs/>
          <w:noProof w:val="0"/>
          <w:u w:val="single"/>
          <w:rtl/>
        </w:rPr>
      </w:pPr>
    </w:p>
    <w:p w:rsidR="00264D90" w:rsidRDefault="00FD73CB" w:rsidP="00BF36E3">
      <w:pPr>
        <w:pStyle w:val="ad"/>
        <w:numPr>
          <w:ilvl w:val="0"/>
          <w:numId w:val="2"/>
        </w:numPr>
        <w:tabs>
          <w:tab w:val="left" w:pos="960"/>
        </w:tabs>
        <w:spacing w:line="360" w:lineRule="auto"/>
        <w:jc w:val="both"/>
        <w:rPr>
          <w:rFonts w:ascii="David" w:hAnsi="David"/>
          <w:noProof w:val="0"/>
          <w:rtl/>
        </w:rPr>
      </w:pPr>
      <w:r>
        <w:rPr>
          <w:rFonts w:ascii="David" w:hAnsi="David"/>
          <w:noProof w:val="0"/>
          <w:rtl/>
        </w:rPr>
        <w:lastRenderedPageBreak/>
        <w:t>ביום 29.7.2</w:t>
      </w:r>
      <w:r w:rsidR="00AF044F" w:rsidRPr="00AF044F">
        <w:rPr>
          <w:rFonts w:ascii="David" w:hAnsi="David"/>
          <w:noProof w:val="0"/>
          <w:rtl/>
        </w:rPr>
        <w:t>0 נחקק</w:t>
      </w:r>
      <w:r w:rsidR="00BF36E3">
        <w:t xml:space="preserve"> </w:t>
      </w:r>
      <w:hyperlink r:id="rId10" w:tgtFrame="blank" w:history="1">
        <w:r w:rsidR="00AF044F" w:rsidRPr="00AF044F">
          <w:rPr>
            <w:noProof w:val="0"/>
            <w:rtl/>
          </w:rPr>
          <w:t>חוק התכנית לסיוע כלכלי (נגיף הקורונה החדש – מענק חד-פעמי) (הוראת שעה ותיקוני חקיקה), התש"ף-2020</w:t>
        </w:r>
      </w:hyperlink>
      <w:r w:rsidR="00AF044F" w:rsidRPr="00AF044F">
        <w:rPr>
          <w:rFonts w:ascii="David" w:hAnsi="David"/>
          <w:noProof w:val="0"/>
        </w:rPr>
        <w:t> </w:t>
      </w:r>
      <w:r w:rsidR="00BF36E3">
        <w:rPr>
          <w:rFonts w:ascii="David" w:hAnsi="David" w:hint="cs"/>
          <w:noProof w:val="0"/>
          <w:rtl/>
        </w:rPr>
        <w:t xml:space="preserve"> </w:t>
      </w:r>
      <w:r w:rsidR="00AF044F">
        <w:rPr>
          <w:rFonts w:ascii="David" w:hAnsi="David" w:hint="cs"/>
          <w:noProof w:val="0"/>
          <w:rtl/>
        </w:rPr>
        <w:t>(להלן: "</w:t>
      </w:r>
      <w:r w:rsidR="00BF36E3">
        <w:rPr>
          <w:rFonts w:ascii="David" w:hAnsi="David" w:hint="cs"/>
          <w:b/>
          <w:bCs/>
          <w:noProof w:val="0"/>
          <w:rtl/>
        </w:rPr>
        <w:t>החוק המתקן</w:t>
      </w:r>
      <w:r w:rsidR="00AF044F">
        <w:rPr>
          <w:rFonts w:ascii="David" w:hAnsi="David" w:hint="cs"/>
          <w:noProof w:val="0"/>
          <w:rtl/>
        </w:rPr>
        <w:t xml:space="preserve">"), </w:t>
      </w:r>
      <w:r w:rsidR="00AF044F" w:rsidRPr="00AF044F">
        <w:rPr>
          <w:rFonts w:ascii="David" w:hAnsi="David"/>
          <w:noProof w:val="0"/>
          <w:rtl/>
        </w:rPr>
        <w:t xml:space="preserve">כך שהחל ממועד זה הוחלו מדרגות מס </w:t>
      </w:r>
      <w:r w:rsidR="00BF36E3">
        <w:rPr>
          <w:rFonts w:ascii="David" w:hAnsi="David" w:hint="cs"/>
          <w:noProof w:val="0"/>
          <w:rtl/>
        </w:rPr>
        <w:t xml:space="preserve">רכישה </w:t>
      </w:r>
      <w:r w:rsidR="00AF044F" w:rsidRPr="00AF044F">
        <w:rPr>
          <w:rFonts w:ascii="David" w:hAnsi="David"/>
          <w:noProof w:val="0"/>
          <w:rtl/>
        </w:rPr>
        <w:t xml:space="preserve">מופחתות, </w:t>
      </w:r>
      <w:r w:rsidR="00AF044F">
        <w:rPr>
          <w:rFonts w:ascii="David" w:hAnsi="David" w:hint="cs"/>
          <w:noProof w:val="0"/>
          <w:rtl/>
        </w:rPr>
        <w:t>ופגה ההוראה</w:t>
      </w:r>
      <w:r w:rsidR="00264D90">
        <w:rPr>
          <w:rFonts w:ascii="David" w:hAnsi="David"/>
          <w:noProof w:val="0"/>
          <w:rtl/>
        </w:rPr>
        <w:t xml:space="preserve"> בסעיף 9(ג1ה) לחוק מסמ"ק, לפיה מס הרכישה שיחול על רוכש דירת מגורים נוספת הינו בשיעור של 8% על חלק השווי שעד 5,340,425 </w:t>
      </w:r>
      <w:r w:rsidR="00DB62C1">
        <w:rPr>
          <w:rFonts w:ascii="David" w:hAnsi="David" w:hint="cs"/>
          <w:noProof w:val="0"/>
          <w:rtl/>
        </w:rPr>
        <w:t xml:space="preserve">₪ </w:t>
      </w:r>
      <w:r w:rsidR="00264D90">
        <w:rPr>
          <w:rFonts w:ascii="David" w:hAnsi="David"/>
          <w:noProof w:val="0"/>
          <w:rtl/>
        </w:rPr>
        <w:t xml:space="preserve">אשר הייתה אמורה </w:t>
      </w:r>
      <w:r w:rsidR="00DB62C1">
        <w:rPr>
          <w:rFonts w:ascii="David" w:hAnsi="David" w:hint="cs"/>
          <w:noProof w:val="0"/>
          <w:rtl/>
        </w:rPr>
        <w:t>לפוג</w:t>
      </w:r>
      <w:r w:rsidR="00AF044F">
        <w:rPr>
          <w:rFonts w:ascii="David" w:hAnsi="David"/>
          <w:noProof w:val="0"/>
          <w:rtl/>
        </w:rPr>
        <w:t xml:space="preserve"> ביום 31.12.20</w:t>
      </w:r>
      <w:r w:rsidR="00AF044F">
        <w:rPr>
          <w:rFonts w:ascii="David" w:hAnsi="David" w:hint="cs"/>
          <w:noProof w:val="0"/>
          <w:rtl/>
        </w:rPr>
        <w:t>.</w:t>
      </w:r>
    </w:p>
    <w:p w:rsidR="00264D90" w:rsidRDefault="00264D90" w:rsidP="00264D90">
      <w:pPr>
        <w:tabs>
          <w:tab w:val="left" w:pos="960"/>
        </w:tabs>
        <w:spacing w:line="360" w:lineRule="auto"/>
        <w:jc w:val="both"/>
        <w:rPr>
          <w:rFonts w:ascii="David" w:hAnsi="David"/>
          <w:noProof w:val="0"/>
        </w:rPr>
      </w:pPr>
    </w:p>
    <w:p w:rsidR="00264D90" w:rsidRDefault="00264D90" w:rsidP="00264D90">
      <w:pPr>
        <w:pStyle w:val="ad"/>
        <w:numPr>
          <w:ilvl w:val="0"/>
          <w:numId w:val="2"/>
        </w:numPr>
        <w:tabs>
          <w:tab w:val="left" w:pos="960"/>
        </w:tabs>
        <w:spacing w:line="360" w:lineRule="auto"/>
        <w:jc w:val="both"/>
        <w:rPr>
          <w:rFonts w:ascii="David" w:hAnsi="David"/>
          <w:noProof w:val="0"/>
        </w:rPr>
      </w:pPr>
      <w:r>
        <w:rPr>
          <w:rFonts w:ascii="David" w:hAnsi="David"/>
          <w:noProof w:val="0"/>
          <w:rtl/>
        </w:rPr>
        <w:t>במקביל להליך שינוי החוק, התנהל מו"מ בין העוררים לבין חברת בית חדש בירושלים בע"מ ח.פ. 513733691 (להלן: "</w:t>
      </w:r>
      <w:r>
        <w:rPr>
          <w:rFonts w:ascii="David" w:hAnsi="David"/>
          <w:b/>
          <w:bCs/>
          <w:noProof w:val="0"/>
          <w:rtl/>
        </w:rPr>
        <w:t>המוכרת</w:t>
      </w:r>
      <w:r>
        <w:rPr>
          <w:rFonts w:ascii="David" w:hAnsi="David"/>
          <w:noProof w:val="0"/>
          <w:rtl/>
        </w:rPr>
        <w:t xml:space="preserve">") היא מוכרת הדירה נשוא השומה דנן. </w:t>
      </w:r>
    </w:p>
    <w:p w:rsidR="00264D90" w:rsidRDefault="00264D90" w:rsidP="00264D90">
      <w:pPr>
        <w:tabs>
          <w:tab w:val="left" w:pos="960"/>
        </w:tabs>
        <w:spacing w:line="360" w:lineRule="auto"/>
        <w:jc w:val="both"/>
        <w:rPr>
          <w:rFonts w:ascii="David" w:hAnsi="David"/>
          <w:noProof w:val="0"/>
        </w:rPr>
      </w:pPr>
    </w:p>
    <w:p w:rsidR="00264D90" w:rsidRDefault="00264D90" w:rsidP="00523BF3">
      <w:pPr>
        <w:pStyle w:val="ad"/>
        <w:numPr>
          <w:ilvl w:val="0"/>
          <w:numId w:val="2"/>
        </w:numPr>
        <w:tabs>
          <w:tab w:val="left" w:pos="960"/>
        </w:tabs>
        <w:spacing w:line="360" w:lineRule="auto"/>
        <w:jc w:val="both"/>
        <w:rPr>
          <w:rFonts w:ascii="David" w:hAnsi="David"/>
          <w:noProof w:val="0"/>
        </w:rPr>
      </w:pPr>
      <w:r>
        <w:rPr>
          <w:rFonts w:ascii="David" w:hAnsi="David"/>
          <w:noProof w:val="0"/>
          <w:rtl/>
        </w:rPr>
        <w:t xml:space="preserve">ביום 20.7.20 חתמו העוררים על הסכם לרכישת הנכס נשוא השומה- דירת מגורים בגוש 30869 חלקה 20, אשר תיבנה על מבנה הידוע כ"קניון רמות" </w:t>
      </w:r>
      <w:r w:rsidR="00523BF3">
        <w:rPr>
          <w:rFonts w:ascii="David" w:hAnsi="David" w:hint="cs"/>
          <w:noProof w:val="0"/>
          <w:rtl/>
        </w:rPr>
        <w:t>תמורת</w:t>
      </w:r>
      <w:r>
        <w:rPr>
          <w:rFonts w:ascii="David" w:hAnsi="David"/>
          <w:noProof w:val="0"/>
          <w:rtl/>
        </w:rPr>
        <w:t xml:space="preserve"> 2,290,000 ₪. </w:t>
      </w:r>
    </w:p>
    <w:p w:rsidR="00264D90" w:rsidRDefault="00264D90" w:rsidP="00264D90">
      <w:pPr>
        <w:pStyle w:val="ad"/>
        <w:rPr>
          <w:rFonts w:ascii="David" w:hAnsi="David"/>
          <w:noProof w:val="0"/>
        </w:rPr>
      </w:pPr>
    </w:p>
    <w:p w:rsidR="00264D90" w:rsidRPr="002A40DD" w:rsidRDefault="00264D90" w:rsidP="00523BF3">
      <w:pPr>
        <w:pStyle w:val="ad"/>
        <w:numPr>
          <w:ilvl w:val="0"/>
          <w:numId w:val="2"/>
        </w:numPr>
        <w:tabs>
          <w:tab w:val="left" w:pos="960"/>
        </w:tabs>
        <w:spacing w:line="360" w:lineRule="auto"/>
        <w:jc w:val="both"/>
        <w:rPr>
          <w:rFonts w:ascii="David" w:hAnsi="David"/>
          <w:noProof w:val="0"/>
        </w:rPr>
      </w:pPr>
      <w:r>
        <w:rPr>
          <w:rFonts w:ascii="David" w:hAnsi="David"/>
          <w:noProof w:val="0"/>
          <w:rtl/>
        </w:rPr>
        <w:t xml:space="preserve">ביום 28.7.20, במסגרת טופס ההצהרה על המכירה, כתבו העוררים </w:t>
      </w:r>
      <w:r w:rsidR="00523BF3">
        <w:rPr>
          <w:rFonts w:ascii="David" w:hAnsi="David" w:hint="cs"/>
          <w:noProof w:val="0"/>
          <w:rtl/>
        </w:rPr>
        <w:t>ב</w:t>
      </w:r>
      <w:r>
        <w:rPr>
          <w:rFonts w:ascii="David" w:hAnsi="David"/>
          <w:noProof w:val="0"/>
          <w:rtl/>
        </w:rPr>
        <w:t>שומה עצמית למס רכישה, כי סכום המס הוא בגובה 183,200 ₪ (להלן: "</w:t>
      </w:r>
      <w:r>
        <w:rPr>
          <w:rFonts w:ascii="David" w:hAnsi="David"/>
          <w:b/>
          <w:bCs/>
          <w:noProof w:val="0"/>
          <w:rtl/>
        </w:rPr>
        <w:t>טופס ההצהרה</w:t>
      </w:r>
      <w:r>
        <w:rPr>
          <w:rFonts w:ascii="David" w:hAnsi="David"/>
          <w:noProof w:val="0"/>
          <w:rtl/>
        </w:rPr>
        <w:t xml:space="preserve">", נספח 1 </w:t>
      </w:r>
      <w:r w:rsidRPr="002A40DD">
        <w:rPr>
          <w:rFonts w:ascii="David" w:hAnsi="David"/>
          <w:noProof w:val="0"/>
          <w:rtl/>
        </w:rPr>
        <w:t xml:space="preserve">לכתב התשובה). </w:t>
      </w:r>
    </w:p>
    <w:p w:rsidR="00264D90" w:rsidRDefault="00264D90" w:rsidP="00264D90">
      <w:pPr>
        <w:pStyle w:val="ad"/>
        <w:rPr>
          <w:rFonts w:ascii="David" w:hAnsi="David"/>
          <w:noProof w:val="0"/>
          <w:rtl/>
        </w:rPr>
      </w:pPr>
    </w:p>
    <w:p w:rsidR="00264D90" w:rsidRDefault="00264D90" w:rsidP="00523BF3">
      <w:pPr>
        <w:pStyle w:val="ad"/>
        <w:numPr>
          <w:ilvl w:val="0"/>
          <w:numId w:val="2"/>
        </w:numPr>
        <w:tabs>
          <w:tab w:val="left" w:pos="960"/>
        </w:tabs>
        <w:spacing w:line="360" w:lineRule="auto"/>
        <w:jc w:val="both"/>
        <w:rPr>
          <w:rFonts w:ascii="David" w:hAnsi="David"/>
          <w:noProof w:val="0"/>
        </w:rPr>
      </w:pPr>
      <w:r>
        <w:rPr>
          <w:rFonts w:ascii="David" w:hAnsi="David"/>
          <w:noProof w:val="0"/>
          <w:rtl/>
        </w:rPr>
        <w:t>בתאריך 10.8.20 שילמו העוררים מס רכישה בגובה 124,477 ₪, בשונה מהשומה העצמית שהגישו, סכום המשקף 5% משוו</w:t>
      </w:r>
      <w:r w:rsidR="00523BF3">
        <w:rPr>
          <w:rFonts w:ascii="David" w:hAnsi="David"/>
          <w:noProof w:val="0"/>
          <w:rtl/>
        </w:rPr>
        <w:t>י הרכישה ולא 8% כפי שקבע החוק ב</w:t>
      </w:r>
      <w:r w:rsidR="00523BF3">
        <w:rPr>
          <w:rFonts w:ascii="David" w:hAnsi="David" w:hint="cs"/>
          <w:noProof w:val="0"/>
          <w:rtl/>
        </w:rPr>
        <w:t>התייחס ליום המכירה</w:t>
      </w:r>
      <w:r>
        <w:rPr>
          <w:rFonts w:ascii="David" w:hAnsi="David"/>
          <w:noProof w:val="0"/>
          <w:rtl/>
        </w:rPr>
        <w:t>.</w:t>
      </w:r>
    </w:p>
    <w:p w:rsidR="00264D90" w:rsidRDefault="00264D90" w:rsidP="00264D90">
      <w:pPr>
        <w:pStyle w:val="ad"/>
        <w:rPr>
          <w:rFonts w:ascii="David" w:hAnsi="David"/>
          <w:noProof w:val="0"/>
          <w:rtl/>
        </w:rPr>
      </w:pPr>
    </w:p>
    <w:p w:rsidR="00264D90" w:rsidRDefault="00264D90" w:rsidP="009F65DC">
      <w:pPr>
        <w:pStyle w:val="ad"/>
        <w:numPr>
          <w:ilvl w:val="0"/>
          <w:numId w:val="2"/>
        </w:numPr>
        <w:tabs>
          <w:tab w:val="left" w:pos="960"/>
        </w:tabs>
        <w:spacing w:line="360" w:lineRule="auto"/>
        <w:jc w:val="both"/>
        <w:rPr>
          <w:rFonts w:ascii="David" w:hAnsi="David"/>
          <w:noProof w:val="0"/>
        </w:rPr>
      </w:pPr>
      <w:r>
        <w:rPr>
          <w:rFonts w:ascii="David" w:hAnsi="David"/>
          <w:noProof w:val="0"/>
          <w:rtl/>
        </w:rPr>
        <w:lastRenderedPageBreak/>
        <w:t>בתאריך 28.8.20 הגישו העוררים השגה למשיב על חיובם במס רכישה בשיעור של 8% ב</w:t>
      </w:r>
      <w:r w:rsidR="00523BF3">
        <w:rPr>
          <w:rFonts w:ascii="David" w:hAnsi="David" w:hint="cs"/>
          <w:noProof w:val="0"/>
          <w:rtl/>
        </w:rPr>
        <w:t>התאם ל</w:t>
      </w:r>
      <w:r>
        <w:rPr>
          <w:rFonts w:ascii="David" w:hAnsi="David"/>
          <w:noProof w:val="0"/>
          <w:rtl/>
        </w:rPr>
        <w:t xml:space="preserve">שומה העצמית מיום 28.7.20.  בהשגה נכתב כי הסכום שאינו שנוי במחלוקת הוא 124,477 ₪. בנימוקי ההשגה נכתב כי העוררים מבקשים לחייבם בתשלום מס רכישה לפי מדרגות המס שנכנסו לתוקף ביום </w:t>
      </w:r>
      <w:r w:rsidR="00454B2C">
        <w:rPr>
          <w:rFonts w:ascii="David" w:hAnsi="David" w:hint="cs"/>
          <w:noProof w:val="0"/>
          <w:rtl/>
        </w:rPr>
        <w:t>29</w:t>
      </w:r>
      <w:r>
        <w:rPr>
          <w:rFonts w:ascii="David" w:hAnsi="David"/>
          <w:noProof w:val="0"/>
          <w:rtl/>
        </w:rPr>
        <w:t>.7.20. נטען</w:t>
      </w:r>
      <w:r w:rsidR="00523BF3">
        <w:rPr>
          <w:rFonts w:ascii="David" w:hAnsi="David" w:hint="cs"/>
          <w:noProof w:val="0"/>
          <w:rtl/>
        </w:rPr>
        <w:t>,</w:t>
      </w:r>
      <w:r>
        <w:rPr>
          <w:rFonts w:ascii="David" w:hAnsi="David"/>
          <w:noProof w:val="0"/>
          <w:rtl/>
        </w:rPr>
        <w:t xml:space="preserve"> בין היתר, כי אינטרס ההסתמכות של העוררים</w:t>
      </w:r>
      <w:r w:rsidR="00176322">
        <w:rPr>
          <w:rFonts w:ascii="David" w:hAnsi="David" w:hint="cs"/>
          <w:noProof w:val="0"/>
          <w:rtl/>
        </w:rPr>
        <w:t xml:space="preserve"> לפיו</w:t>
      </w:r>
      <w:r>
        <w:rPr>
          <w:rFonts w:ascii="David" w:hAnsi="David"/>
          <w:noProof w:val="0"/>
          <w:rtl/>
        </w:rPr>
        <w:t xml:space="preserve"> </w:t>
      </w:r>
      <w:r w:rsidR="00523BF3">
        <w:rPr>
          <w:rFonts w:ascii="David" w:hAnsi="David" w:hint="cs"/>
          <w:noProof w:val="0"/>
          <w:rtl/>
        </w:rPr>
        <w:t>יחול המס לפי מדרגה של 8%</w:t>
      </w:r>
      <w:r>
        <w:rPr>
          <w:rFonts w:ascii="David" w:hAnsi="David"/>
          <w:noProof w:val="0"/>
          <w:rtl/>
        </w:rPr>
        <w:t xml:space="preserve"> נפגע וכי מועד חתימת ההסכם נקבע באופן טכני לתאריך 20.7.20.</w:t>
      </w:r>
    </w:p>
    <w:p w:rsidR="00264D90" w:rsidRDefault="00264D90" w:rsidP="00264D90">
      <w:pPr>
        <w:pStyle w:val="ad"/>
        <w:rPr>
          <w:rFonts w:ascii="David" w:hAnsi="David"/>
          <w:noProof w:val="0"/>
          <w:rtl/>
        </w:rPr>
      </w:pPr>
    </w:p>
    <w:p w:rsidR="00264D90" w:rsidRDefault="00264D90" w:rsidP="00264D90">
      <w:pPr>
        <w:pStyle w:val="ad"/>
        <w:numPr>
          <w:ilvl w:val="0"/>
          <w:numId w:val="2"/>
        </w:numPr>
        <w:tabs>
          <w:tab w:val="left" w:pos="960"/>
        </w:tabs>
        <w:spacing w:line="360" w:lineRule="auto"/>
        <w:jc w:val="both"/>
        <w:rPr>
          <w:rFonts w:ascii="David" w:hAnsi="David"/>
          <w:noProof w:val="0"/>
        </w:rPr>
      </w:pPr>
      <w:r>
        <w:rPr>
          <w:rFonts w:ascii="David" w:hAnsi="David"/>
          <w:noProof w:val="0"/>
          <w:rtl/>
        </w:rPr>
        <w:t xml:space="preserve">ביום 1.2.21 נערך דיון טלפוני בהשגה בהשתתפות המשיב, העוררים ובא כוחם. </w:t>
      </w:r>
    </w:p>
    <w:p w:rsidR="00264D90" w:rsidRDefault="00264D90" w:rsidP="00264D90">
      <w:pPr>
        <w:pStyle w:val="ad"/>
        <w:rPr>
          <w:rFonts w:ascii="David" w:hAnsi="David"/>
          <w:noProof w:val="0"/>
          <w:rtl/>
        </w:rPr>
      </w:pPr>
    </w:p>
    <w:p w:rsidR="00264D90" w:rsidRDefault="00264D90" w:rsidP="00523BF3">
      <w:pPr>
        <w:pStyle w:val="ad"/>
        <w:numPr>
          <w:ilvl w:val="0"/>
          <w:numId w:val="2"/>
        </w:numPr>
        <w:tabs>
          <w:tab w:val="left" w:pos="960"/>
        </w:tabs>
        <w:spacing w:line="360" w:lineRule="auto"/>
        <w:jc w:val="both"/>
        <w:rPr>
          <w:rFonts w:ascii="David" w:hAnsi="David"/>
          <w:noProof w:val="0"/>
        </w:rPr>
      </w:pPr>
      <w:r>
        <w:rPr>
          <w:rFonts w:ascii="David" w:hAnsi="David"/>
          <w:noProof w:val="0"/>
          <w:rtl/>
        </w:rPr>
        <w:t xml:space="preserve">בתאריך 14.2.21 ניתנה החלטת המשיב אשר דחה את ההשגה (נספח 5 </w:t>
      </w:r>
      <w:r w:rsidRPr="002A40DD">
        <w:rPr>
          <w:rFonts w:ascii="David" w:hAnsi="David"/>
          <w:noProof w:val="0"/>
          <w:rtl/>
        </w:rPr>
        <w:t>לכתב התשובה</w:t>
      </w:r>
      <w:r>
        <w:rPr>
          <w:rFonts w:ascii="David" w:hAnsi="David"/>
          <w:noProof w:val="0"/>
          <w:rtl/>
        </w:rPr>
        <w:t>). בהחלטה נקבע כי בתאריך 20.7.20 רכשו העוררים זכות בדירת מגורים ובתאריך 28.7.20 הוגש דיווח אודות הרכישה, הכולל שומה עצמית ובתאריך 30.7.20 אישר המנהל את השומה העצמית. הובהר כי המס לתשלום נקבע על פי הוראות סעיף 9(ג1ה) לחוק מסמ"ק לרוכש דירת מגורים (שאינה דירת מגורים יחידה).</w:t>
      </w:r>
    </w:p>
    <w:p w:rsidR="00264D90" w:rsidRDefault="00264D90" w:rsidP="00264D90">
      <w:pPr>
        <w:pStyle w:val="ad"/>
        <w:rPr>
          <w:rFonts w:ascii="David" w:hAnsi="David"/>
          <w:noProof w:val="0"/>
          <w:rtl/>
        </w:rPr>
      </w:pPr>
    </w:p>
    <w:p w:rsidR="00264D90" w:rsidRDefault="00264D90" w:rsidP="00264D90">
      <w:pPr>
        <w:pStyle w:val="ad"/>
        <w:numPr>
          <w:ilvl w:val="0"/>
          <w:numId w:val="2"/>
        </w:numPr>
        <w:tabs>
          <w:tab w:val="left" w:pos="960"/>
        </w:tabs>
        <w:spacing w:line="360" w:lineRule="auto"/>
        <w:jc w:val="both"/>
        <w:rPr>
          <w:rFonts w:ascii="David" w:hAnsi="David"/>
          <w:noProof w:val="0"/>
        </w:rPr>
      </w:pPr>
      <w:r>
        <w:rPr>
          <w:rFonts w:ascii="David" w:hAnsi="David"/>
          <w:noProof w:val="0"/>
          <w:rtl/>
        </w:rPr>
        <w:t xml:space="preserve">על החלטה זו של המשיב הוגש הערר דנן. </w:t>
      </w:r>
    </w:p>
    <w:p w:rsidR="00264D90" w:rsidRDefault="00264D90" w:rsidP="00264D90">
      <w:pPr>
        <w:pStyle w:val="ad"/>
        <w:rPr>
          <w:rFonts w:ascii="David" w:hAnsi="David"/>
          <w:noProof w:val="0"/>
          <w:rtl/>
        </w:rPr>
      </w:pPr>
    </w:p>
    <w:p w:rsidR="00264D90" w:rsidRDefault="00264D90" w:rsidP="00523BF3">
      <w:pPr>
        <w:pStyle w:val="ad"/>
        <w:numPr>
          <w:ilvl w:val="0"/>
          <w:numId w:val="2"/>
        </w:numPr>
        <w:tabs>
          <w:tab w:val="left" w:pos="960"/>
        </w:tabs>
        <w:spacing w:line="360" w:lineRule="auto"/>
        <w:jc w:val="both"/>
        <w:rPr>
          <w:rFonts w:ascii="David" w:hAnsi="David"/>
          <w:noProof w:val="0"/>
        </w:rPr>
      </w:pPr>
      <w:r>
        <w:rPr>
          <w:rFonts w:ascii="David" w:hAnsi="David"/>
          <w:noProof w:val="0"/>
          <w:rtl/>
        </w:rPr>
        <w:t>לאחר הגשת הערר,</w:t>
      </w:r>
      <w:r w:rsidR="00523BF3" w:rsidRPr="00523BF3">
        <w:rPr>
          <w:rFonts w:ascii="David" w:hAnsi="David"/>
          <w:noProof w:val="0"/>
          <w:rtl/>
        </w:rPr>
        <w:t xml:space="preserve"> </w:t>
      </w:r>
      <w:r w:rsidR="00523BF3">
        <w:rPr>
          <w:rFonts w:ascii="David" w:hAnsi="David"/>
          <w:noProof w:val="0"/>
          <w:rtl/>
        </w:rPr>
        <w:t>הוגשה</w:t>
      </w:r>
      <w:r>
        <w:rPr>
          <w:rFonts w:ascii="David" w:hAnsi="David"/>
          <w:noProof w:val="0"/>
          <w:rtl/>
        </w:rPr>
        <w:t xml:space="preserve"> ביום 24.7.22 </w:t>
      </w:r>
      <w:r w:rsidR="00523BF3">
        <w:rPr>
          <w:rFonts w:ascii="David" w:hAnsi="David"/>
          <w:noProof w:val="0"/>
          <w:rtl/>
        </w:rPr>
        <w:t xml:space="preserve">על ידי העוררים בקשה לאישור תובענה כייצוגית בעניין דנן </w:t>
      </w:r>
      <w:r w:rsidR="00523BF3">
        <w:rPr>
          <w:rFonts w:ascii="David" w:hAnsi="David" w:hint="cs"/>
          <w:noProof w:val="0"/>
          <w:rtl/>
        </w:rPr>
        <w:t>ל</w:t>
      </w:r>
      <w:r>
        <w:rPr>
          <w:rFonts w:ascii="David" w:hAnsi="David"/>
          <w:noProof w:val="0"/>
          <w:rtl/>
        </w:rPr>
        <w:t xml:space="preserve">בית המשפט המחוזי מרכז- ת.צ. 48112-07-22 </w:t>
      </w:r>
      <w:r>
        <w:rPr>
          <w:rFonts w:ascii="David" w:hAnsi="David"/>
          <w:b/>
          <w:bCs/>
          <w:noProof w:val="0"/>
          <w:rtl/>
        </w:rPr>
        <w:t>אלמליח נ' רשות המיסים</w:t>
      </w:r>
      <w:r>
        <w:rPr>
          <w:rFonts w:ascii="David" w:hAnsi="David"/>
          <w:noProof w:val="0"/>
          <w:rtl/>
        </w:rPr>
        <w:t xml:space="preserve">, אשר </w:t>
      </w:r>
      <w:r w:rsidR="00523BF3">
        <w:rPr>
          <w:rFonts w:ascii="David" w:hAnsi="David" w:hint="cs"/>
          <w:noProof w:val="0"/>
          <w:rtl/>
        </w:rPr>
        <w:t>נדחתה על ידי</w:t>
      </w:r>
      <w:r>
        <w:rPr>
          <w:rFonts w:ascii="David" w:hAnsi="David"/>
          <w:noProof w:val="0"/>
          <w:rtl/>
        </w:rPr>
        <w:t xml:space="preserve"> כב' השופט </w:t>
      </w:r>
      <w:r w:rsidR="009F65DC">
        <w:rPr>
          <w:rFonts w:ascii="David" w:hAnsi="David" w:hint="cs"/>
          <w:noProof w:val="0"/>
          <w:rtl/>
        </w:rPr>
        <w:t>ש'</w:t>
      </w:r>
      <w:r w:rsidR="00176322">
        <w:rPr>
          <w:rFonts w:ascii="David" w:hAnsi="David" w:hint="cs"/>
          <w:noProof w:val="0"/>
          <w:rtl/>
        </w:rPr>
        <w:t xml:space="preserve"> </w:t>
      </w:r>
      <w:r w:rsidR="00A2397A">
        <w:rPr>
          <w:rFonts w:ascii="David" w:hAnsi="David"/>
          <w:noProof w:val="0"/>
          <w:rtl/>
        </w:rPr>
        <w:t>בורנשט</w:t>
      </w:r>
      <w:r>
        <w:rPr>
          <w:rFonts w:ascii="David" w:hAnsi="David"/>
          <w:noProof w:val="0"/>
          <w:rtl/>
        </w:rPr>
        <w:t>ין (להלן: "</w:t>
      </w:r>
      <w:r>
        <w:rPr>
          <w:rFonts w:ascii="David" w:hAnsi="David"/>
          <w:b/>
          <w:bCs/>
          <w:noProof w:val="0"/>
          <w:rtl/>
        </w:rPr>
        <w:t>הבקשה לאישור התובענה כייצוגית</w:t>
      </w:r>
      <w:r>
        <w:rPr>
          <w:rFonts w:ascii="David" w:hAnsi="David"/>
          <w:noProof w:val="0"/>
          <w:rtl/>
        </w:rPr>
        <w:t>").</w:t>
      </w:r>
    </w:p>
    <w:p w:rsidR="00264D90" w:rsidRDefault="00264D90" w:rsidP="00264D90">
      <w:pPr>
        <w:pStyle w:val="ad"/>
        <w:rPr>
          <w:rFonts w:ascii="David" w:hAnsi="David"/>
          <w:noProof w:val="0"/>
        </w:rPr>
      </w:pPr>
    </w:p>
    <w:p w:rsidR="00264D90" w:rsidRDefault="00264D90" w:rsidP="00523BF3">
      <w:pPr>
        <w:pStyle w:val="ad"/>
        <w:numPr>
          <w:ilvl w:val="0"/>
          <w:numId w:val="2"/>
        </w:numPr>
        <w:tabs>
          <w:tab w:val="left" w:pos="960"/>
        </w:tabs>
        <w:spacing w:line="360" w:lineRule="auto"/>
        <w:jc w:val="both"/>
        <w:rPr>
          <w:rFonts w:ascii="David" w:hAnsi="David"/>
          <w:noProof w:val="0"/>
          <w:rtl/>
        </w:rPr>
      </w:pPr>
      <w:r>
        <w:rPr>
          <w:rFonts w:ascii="David" w:hAnsi="David"/>
          <w:noProof w:val="0"/>
          <w:rtl/>
        </w:rPr>
        <w:lastRenderedPageBreak/>
        <w:t>ביום 28.7.24 דחה בית המשפט העל</w:t>
      </w:r>
      <w:r>
        <w:rPr>
          <w:rFonts w:ascii="David" w:hAnsi="David"/>
          <w:noProof w:val="0"/>
          <w:sz w:val="22"/>
          <w:szCs w:val="22"/>
          <w:rtl/>
        </w:rPr>
        <w:t>יון את ה</w:t>
      </w:r>
      <w:r>
        <w:rPr>
          <w:rFonts w:ascii="David" w:hAnsi="David"/>
          <w:noProof w:val="0"/>
          <w:rtl/>
        </w:rPr>
        <w:t>ערעור שהגישו העוררים על דחיית</w:t>
      </w:r>
      <w:r w:rsidR="00523BF3">
        <w:rPr>
          <w:rFonts w:ascii="David" w:hAnsi="David" w:hint="cs"/>
          <w:noProof w:val="0"/>
          <w:rtl/>
        </w:rPr>
        <w:t xml:space="preserve"> הבקשה על ידי</w:t>
      </w:r>
      <w:r>
        <w:rPr>
          <w:rFonts w:ascii="David" w:hAnsi="David"/>
          <w:noProof w:val="0"/>
          <w:rtl/>
        </w:rPr>
        <w:t xml:space="preserve"> בית המשפט המחוזי מרכז</w:t>
      </w:r>
      <w:r w:rsidR="00F63439">
        <w:rPr>
          <w:rFonts w:ascii="David" w:hAnsi="David" w:hint="cs"/>
          <w:noProof w:val="0"/>
          <w:rtl/>
        </w:rPr>
        <w:t xml:space="preserve">- עע"מ 4230/24 </w:t>
      </w:r>
      <w:r w:rsidR="00F63439" w:rsidRPr="00F63439">
        <w:rPr>
          <w:rFonts w:ascii="David" w:hAnsi="David" w:hint="cs"/>
          <w:b/>
          <w:bCs/>
          <w:noProof w:val="0"/>
          <w:rtl/>
        </w:rPr>
        <w:t>גיל יחיאל אלמליח נ' מדינת ישראל</w:t>
      </w:r>
      <w:r w:rsidR="00F63439">
        <w:rPr>
          <w:rFonts w:ascii="David" w:hAnsi="David" w:hint="cs"/>
          <w:noProof w:val="0"/>
          <w:rtl/>
        </w:rPr>
        <w:t xml:space="preserve"> (להלן: "</w:t>
      </w:r>
      <w:r w:rsidR="00EE5D30" w:rsidRPr="00EE5D30">
        <w:rPr>
          <w:rFonts w:ascii="David" w:hAnsi="David" w:hint="cs"/>
          <w:b/>
          <w:bCs/>
          <w:noProof w:val="0"/>
          <w:rtl/>
        </w:rPr>
        <w:t>עע"מ 4230/24</w:t>
      </w:r>
      <w:r w:rsidR="00F63439">
        <w:rPr>
          <w:rFonts w:ascii="David" w:hAnsi="David" w:hint="cs"/>
          <w:noProof w:val="0"/>
          <w:rtl/>
        </w:rPr>
        <w:t>")</w:t>
      </w:r>
      <w:r>
        <w:rPr>
          <w:rFonts w:ascii="David" w:hAnsi="David"/>
          <w:noProof w:val="0"/>
          <w:rtl/>
        </w:rPr>
        <w:t>.</w:t>
      </w:r>
    </w:p>
    <w:p w:rsidR="00264D90" w:rsidRDefault="00264D90" w:rsidP="00264D90">
      <w:pPr>
        <w:spacing w:line="360" w:lineRule="auto"/>
        <w:jc w:val="both"/>
        <w:rPr>
          <w:rFonts w:ascii="David" w:hAnsi="David"/>
          <w:noProof w:val="0"/>
        </w:rPr>
      </w:pPr>
    </w:p>
    <w:p w:rsidR="00264D90" w:rsidRDefault="00264D90" w:rsidP="00264D90">
      <w:pPr>
        <w:rPr>
          <w:rFonts w:ascii="David" w:hAnsi="David"/>
          <w:b/>
          <w:bCs/>
          <w:noProof w:val="0"/>
          <w:u w:val="single"/>
          <w:rtl/>
        </w:rPr>
      </w:pPr>
      <w:r>
        <w:rPr>
          <w:rFonts w:ascii="David" w:hAnsi="David"/>
          <w:b/>
          <w:bCs/>
          <w:noProof w:val="0"/>
          <w:u w:val="single"/>
          <w:rtl/>
        </w:rPr>
        <w:t>תמצית טענות הצדדים</w:t>
      </w:r>
    </w:p>
    <w:p w:rsidR="00264D90" w:rsidRDefault="00264D90" w:rsidP="00264D90">
      <w:pPr>
        <w:spacing w:line="360" w:lineRule="auto"/>
        <w:jc w:val="both"/>
        <w:rPr>
          <w:rFonts w:ascii="David" w:hAnsi="David"/>
          <w:noProof w:val="0"/>
          <w:u w:val="single"/>
          <w:rtl/>
        </w:rPr>
      </w:pPr>
      <w:r>
        <w:rPr>
          <w:rFonts w:ascii="David" w:hAnsi="David"/>
          <w:noProof w:val="0"/>
          <w:u w:val="single"/>
          <w:rtl/>
        </w:rPr>
        <w:t>טענות העוררים</w:t>
      </w:r>
    </w:p>
    <w:p w:rsidR="00264D90" w:rsidRDefault="00264D90" w:rsidP="00523BF3">
      <w:pPr>
        <w:pStyle w:val="ad"/>
        <w:numPr>
          <w:ilvl w:val="0"/>
          <w:numId w:val="2"/>
        </w:numPr>
        <w:spacing w:line="360" w:lineRule="auto"/>
        <w:jc w:val="both"/>
        <w:rPr>
          <w:rFonts w:ascii="David" w:hAnsi="David"/>
          <w:noProof w:val="0"/>
          <w:rtl/>
        </w:rPr>
      </w:pPr>
      <w:r>
        <w:rPr>
          <w:rFonts w:ascii="David" w:hAnsi="David"/>
          <w:noProof w:val="0"/>
          <w:rtl/>
        </w:rPr>
        <w:t>לטענת העוררים, מחובת הגורמים להם כפוף המשיב והמשיב עצמו, כנאמני הציבור, לגלות לציבור באמצעי התקש</w:t>
      </w:r>
      <w:r w:rsidR="00523BF3">
        <w:rPr>
          <w:rFonts w:ascii="David" w:hAnsi="David" w:hint="cs"/>
          <w:noProof w:val="0"/>
          <w:rtl/>
        </w:rPr>
        <w:t>ו</w:t>
      </w:r>
      <w:r>
        <w:rPr>
          <w:rFonts w:ascii="David" w:hAnsi="David"/>
          <w:noProof w:val="0"/>
          <w:rtl/>
        </w:rPr>
        <w:t xml:space="preserve">רת כי הם פועלים לקיצור הוראת השעה, בסמוך לאחר הדלפת המידע שלא כהוגן לתקשורת, ובכך לאפשר לעוררים לכלכל צעדיהם. </w:t>
      </w:r>
    </w:p>
    <w:p w:rsidR="00264D90" w:rsidRDefault="00264D90" w:rsidP="00264D90">
      <w:pPr>
        <w:pStyle w:val="ad"/>
        <w:spacing w:line="360" w:lineRule="auto"/>
        <w:jc w:val="both"/>
        <w:rPr>
          <w:rFonts w:ascii="David" w:hAnsi="David"/>
          <w:noProof w:val="0"/>
          <w:rtl/>
        </w:rPr>
      </w:pPr>
    </w:p>
    <w:p w:rsidR="00264D90" w:rsidRDefault="00264D90" w:rsidP="00264D90">
      <w:pPr>
        <w:pStyle w:val="ad"/>
        <w:numPr>
          <w:ilvl w:val="0"/>
          <w:numId w:val="2"/>
        </w:numPr>
        <w:spacing w:line="360" w:lineRule="auto"/>
        <w:jc w:val="both"/>
        <w:rPr>
          <w:rFonts w:ascii="David" w:hAnsi="David"/>
          <w:noProof w:val="0"/>
        </w:rPr>
      </w:pPr>
      <w:r>
        <w:rPr>
          <w:rFonts w:ascii="David" w:hAnsi="David"/>
          <w:noProof w:val="0"/>
          <w:rtl/>
        </w:rPr>
        <w:t>לפי העוררים, החל מיום 12.7.20 החלו פרסומים בלתי מבוקרים ובלתי רשמיים אודות קיצור הוראת השעה שקידמו גורמים מטעם הממשלה (דוגמת פרסומים בכתבות</w:t>
      </w:r>
      <w:r w:rsidR="00523BF3">
        <w:rPr>
          <w:rFonts w:ascii="David" w:hAnsi="David"/>
          <w:noProof w:val="0"/>
          <w:rtl/>
        </w:rPr>
        <w:t xml:space="preserve"> באתרים 'כלכליסט' ו-'דה מרקר')</w:t>
      </w:r>
      <w:r w:rsidR="00523BF3">
        <w:rPr>
          <w:rFonts w:ascii="David" w:hAnsi="David" w:hint="cs"/>
          <w:noProof w:val="0"/>
          <w:rtl/>
        </w:rPr>
        <w:t xml:space="preserve">, </w:t>
      </w:r>
      <w:r>
        <w:rPr>
          <w:rFonts w:ascii="David" w:hAnsi="David"/>
          <w:noProof w:val="0"/>
          <w:rtl/>
        </w:rPr>
        <w:t xml:space="preserve">אולם רק ביום 29.7.20 נודע לעוררים אודות השינוי בחוק, כאשר פרסמה רשות המיסים לראשונה הודעה בנידון. </w:t>
      </w:r>
    </w:p>
    <w:p w:rsidR="00264D90" w:rsidRDefault="00264D90" w:rsidP="00264D90">
      <w:pPr>
        <w:pStyle w:val="ad"/>
        <w:rPr>
          <w:rFonts w:ascii="David" w:hAnsi="David"/>
          <w:noProof w:val="0"/>
          <w:rtl/>
        </w:rPr>
      </w:pPr>
    </w:p>
    <w:p w:rsidR="00264D90" w:rsidRDefault="00264D90" w:rsidP="00264D90">
      <w:pPr>
        <w:pStyle w:val="ad"/>
        <w:numPr>
          <w:ilvl w:val="0"/>
          <w:numId w:val="2"/>
        </w:numPr>
        <w:spacing w:line="360" w:lineRule="auto"/>
        <w:jc w:val="both"/>
        <w:rPr>
          <w:rFonts w:ascii="David" w:hAnsi="David"/>
          <w:noProof w:val="0"/>
        </w:rPr>
      </w:pPr>
      <w:r>
        <w:rPr>
          <w:rFonts w:ascii="David" w:hAnsi="David"/>
          <w:noProof w:val="0"/>
          <w:rtl/>
        </w:rPr>
        <w:t>לטענתם, נוצרה אפליה בין רוכשים שידעו על השינוי הצפוי במדרגות המס לבין אלו שלא ידעו והסתמכו על פרסומים רשמיים של המשיב. כתוצאה מכך, טוענים העוררים כי שילמו מס שאינו מס אמת שממנו עשתה המדינה "עושר ולא במשפט" על חשבון העוררים ודומיהם.</w:t>
      </w:r>
    </w:p>
    <w:p w:rsidR="00264D90" w:rsidRDefault="00264D90" w:rsidP="00264D90">
      <w:pPr>
        <w:rPr>
          <w:rFonts w:ascii="David" w:hAnsi="David"/>
          <w:noProof w:val="0"/>
          <w:rtl/>
        </w:rPr>
      </w:pPr>
    </w:p>
    <w:p w:rsidR="00264D90" w:rsidRDefault="00264D90" w:rsidP="00264D90">
      <w:pPr>
        <w:pStyle w:val="ad"/>
        <w:numPr>
          <w:ilvl w:val="0"/>
          <w:numId w:val="2"/>
        </w:numPr>
        <w:spacing w:line="360" w:lineRule="auto"/>
        <w:jc w:val="both"/>
        <w:rPr>
          <w:rFonts w:ascii="David" w:hAnsi="David"/>
          <w:noProof w:val="0"/>
        </w:rPr>
      </w:pPr>
      <w:r>
        <w:rPr>
          <w:rFonts w:ascii="David" w:hAnsi="David"/>
          <w:noProof w:val="0"/>
          <w:rtl/>
        </w:rPr>
        <w:lastRenderedPageBreak/>
        <w:t>עוד טענו</w:t>
      </w:r>
      <w:r w:rsidR="00523BF3">
        <w:rPr>
          <w:rFonts w:ascii="David" w:hAnsi="David" w:hint="cs"/>
          <w:noProof w:val="0"/>
          <w:rtl/>
        </w:rPr>
        <w:t xml:space="preserve"> העוררים</w:t>
      </w:r>
      <w:r>
        <w:rPr>
          <w:rFonts w:ascii="David" w:hAnsi="David"/>
          <w:noProof w:val="0"/>
          <w:rtl/>
        </w:rPr>
        <w:t>, כי סוגיית חתימת ההסכם ביום 20.7.20 הינה טכנית, כאשר במקור כוונתם הייתה לחתום על הסכם הרכישה רק לאחר ט' באב תש"פ ולא במהלך שלושת השבועות שבין י"ז בתמוז לבין ט' באב, אלא שהקדמת החתימה על ידי המוכרת נעשתה ללא תיאום וללא ידיעתם של העוררים.</w:t>
      </w:r>
    </w:p>
    <w:p w:rsidR="00264D90" w:rsidRDefault="00264D90" w:rsidP="00264D90">
      <w:pPr>
        <w:pStyle w:val="ad"/>
        <w:rPr>
          <w:rFonts w:ascii="David" w:hAnsi="David"/>
          <w:noProof w:val="0"/>
          <w:rtl/>
        </w:rPr>
      </w:pPr>
    </w:p>
    <w:p w:rsidR="00264D90" w:rsidRDefault="00264D90" w:rsidP="00264D90">
      <w:pPr>
        <w:pStyle w:val="ad"/>
        <w:numPr>
          <w:ilvl w:val="0"/>
          <w:numId w:val="2"/>
        </w:numPr>
        <w:spacing w:line="360" w:lineRule="auto"/>
        <w:jc w:val="both"/>
        <w:rPr>
          <w:rFonts w:ascii="David" w:hAnsi="David"/>
          <w:noProof w:val="0"/>
        </w:rPr>
      </w:pPr>
      <w:r>
        <w:rPr>
          <w:rFonts w:ascii="David" w:hAnsi="David"/>
          <w:noProof w:val="0"/>
          <w:rtl/>
        </w:rPr>
        <w:t>לטענת העוררים, גם בהיעדר חובה לקיום הליך חקיקה גלוי לאזרח, מאחר והדבר נודע בציבור עד כדי עצירת רכישת בתים (כעולה מדברי שר האוצר בוועדת הכספים, ראו חלק ב' לסיכומי העוררים), יש לאזן בין אותו ציבור לבין העוררים.</w:t>
      </w:r>
    </w:p>
    <w:p w:rsidR="00F63439" w:rsidRPr="00F63439" w:rsidRDefault="00F63439" w:rsidP="00F63439">
      <w:pPr>
        <w:pStyle w:val="ad"/>
        <w:rPr>
          <w:rFonts w:ascii="David" w:hAnsi="David"/>
          <w:noProof w:val="0"/>
          <w:rtl/>
        </w:rPr>
      </w:pPr>
    </w:p>
    <w:p w:rsidR="00F63439" w:rsidRDefault="00F63439" w:rsidP="00523BF3">
      <w:pPr>
        <w:pStyle w:val="ad"/>
        <w:numPr>
          <w:ilvl w:val="0"/>
          <w:numId w:val="2"/>
        </w:numPr>
        <w:spacing w:line="360" w:lineRule="auto"/>
        <w:jc w:val="both"/>
        <w:rPr>
          <w:rFonts w:ascii="David" w:hAnsi="David"/>
          <w:noProof w:val="0"/>
        </w:rPr>
      </w:pPr>
      <w:r>
        <w:rPr>
          <w:rFonts w:ascii="David" w:hAnsi="David" w:hint="cs"/>
          <w:noProof w:val="0"/>
          <w:rtl/>
        </w:rPr>
        <w:t xml:space="preserve">העוררים </w:t>
      </w:r>
      <w:r w:rsidR="00523BF3">
        <w:rPr>
          <w:rFonts w:ascii="David" w:hAnsi="David" w:hint="cs"/>
          <w:noProof w:val="0"/>
          <w:rtl/>
        </w:rPr>
        <w:t>הסתמכו</w:t>
      </w:r>
      <w:r>
        <w:rPr>
          <w:rFonts w:ascii="David" w:hAnsi="David" w:hint="cs"/>
          <w:noProof w:val="0"/>
          <w:rtl/>
        </w:rPr>
        <w:t xml:space="preserve"> על מספר עילות לאור התנהלות המש</w:t>
      </w:r>
      <w:r w:rsidR="00523BF3">
        <w:rPr>
          <w:rFonts w:ascii="David" w:hAnsi="David" w:hint="cs"/>
          <w:noProof w:val="0"/>
          <w:rtl/>
        </w:rPr>
        <w:t>יב ורשות המיסים:</w:t>
      </w:r>
      <w:r w:rsidR="0080624C">
        <w:rPr>
          <w:rFonts w:ascii="David" w:hAnsi="David" w:hint="cs"/>
          <w:noProof w:val="0"/>
          <w:rtl/>
        </w:rPr>
        <w:t xml:space="preserve"> </w:t>
      </w:r>
      <w:r w:rsidR="00523BF3">
        <w:rPr>
          <w:rFonts w:ascii="David" w:hAnsi="David" w:hint="cs"/>
          <w:noProof w:val="0"/>
          <w:rtl/>
        </w:rPr>
        <w:t>הם</w:t>
      </w:r>
      <w:r w:rsidR="0080624C">
        <w:rPr>
          <w:rFonts w:ascii="David" w:hAnsi="David" w:hint="cs"/>
          <w:noProof w:val="0"/>
          <w:rtl/>
        </w:rPr>
        <w:t xml:space="preserve"> טענו לעילת עשיית עושר ולא במשפט, עילת הרשלנות, פגיעה באינטרס ההסתמכות ועילת הפרת חובה חקוקה.</w:t>
      </w:r>
    </w:p>
    <w:p w:rsidR="00264D90" w:rsidRDefault="00264D90" w:rsidP="00264D90">
      <w:pPr>
        <w:spacing w:line="360" w:lineRule="auto"/>
        <w:jc w:val="both"/>
        <w:rPr>
          <w:rFonts w:ascii="David" w:hAnsi="David"/>
          <w:noProof w:val="0"/>
          <w:rtl/>
        </w:rPr>
      </w:pPr>
    </w:p>
    <w:p w:rsidR="00264D90" w:rsidRDefault="00264D90" w:rsidP="00264D90">
      <w:pPr>
        <w:spacing w:line="360" w:lineRule="auto"/>
        <w:jc w:val="both"/>
        <w:rPr>
          <w:rFonts w:ascii="David" w:hAnsi="David"/>
          <w:noProof w:val="0"/>
          <w:u w:val="single"/>
        </w:rPr>
      </w:pPr>
      <w:r>
        <w:rPr>
          <w:rFonts w:ascii="David" w:hAnsi="David"/>
          <w:noProof w:val="0"/>
          <w:u w:val="single"/>
          <w:rtl/>
        </w:rPr>
        <w:t>טענות המשיב</w:t>
      </w:r>
    </w:p>
    <w:p w:rsidR="00264D90" w:rsidRDefault="00264D90" w:rsidP="00264D90">
      <w:pPr>
        <w:pStyle w:val="ad"/>
        <w:numPr>
          <w:ilvl w:val="0"/>
          <w:numId w:val="2"/>
        </w:numPr>
        <w:spacing w:line="360" w:lineRule="auto"/>
        <w:jc w:val="both"/>
        <w:rPr>
          <w:rFonts w:ascii="David" w:hAnsi="David"/>
          <w:noProof w:val="0"/>
          <w:u w:val="single"/>
        </w:rPr>
      </w:pPr>
      <w:r>
        <w:rPr>
          <w:rFonts w:ascii="David" w:hAnsi="David"/>
          <w:color w:val="000000"/>
          <w:rtl/>
        </w:rPr>
        <w:t>בעקבות התפרצות מגפת הקורונה במחצית הראשונה של שנת 2020, והחשש שמא תחול האטה משמעותית במספר עסקאות המקרקעין וכתוצאה מכך הפחתה בבנייה, ביקש שר האוצר דאז לקצר את תחולת הוראת השעה ולהפחית את שיעור מס הרכישה החל על רכישת דירות להשקעה.</w:t>
      </w:r>
    </w:p>
    <w:p w:rsidR="00264D90" w:rsidRDefault="00264D90" w:rsidP="00264D90">
      <w:pPr>
        <w:pStyle w:val="ad"/>
        <w:spacing w:line="360" w:lineRule="auto"/>
        <w:jc w:val="both"/>
        <w:rPr>
          <w:rFonts w:ascii="David" w:hAnsi="David"/>
          <w:noProof w:val="0"/>
          <w:u w:val="single"/>
          <w:rtl/>
        </w:rPr>
      </w:pPr>
    </w:p>
    <w:p w:rsidR="00264D90" w:rsidRDefault="00264D90" w:rsidP="00454B2C">
      <w:pPr>
        <w:pStyle w:val="ad"/>
        <w:numPr>
          <w:ilvl w:val="0"/>
          <w:numId w:val="2"/>
        </w:numPr>
        <w:spacing w:line="360" w:lineRule="auto"/>
        <w:jc w:val="both"/>
        <w:rPr>
          <w:rFonts w:ascii="David" w:hAnsi="David"/>
          <w:noProof w:val="0"/>
          <w:u w:val="single"/>
        </w:rPr>
      </w:pPr>
      <w:r>
        <w:rPr>
          <w:rFonts w:ascii="David" w:hAnsi="David"/>
          <w:color w:val="000000"/>
          <w:rtl/>
        </w:rPr>
        <w:lastRenderedPageBreak/>
        <w:t xml:space="preserve">בעוד שהוראת השעה </w:t>
      </w:r>
      <w:r w:rsidR="006E1B47">
        <w:rPr>
          <w:rFonts w:ascii="David" w:hAnsi="David" w:hint="cs"/>
          <w:color w:val="000000"/>
          <w:rtl/>
        </w:rPr>
        <w:t>שהייתה בתוקף בשנת 2020</w:t>
      </w:r>
      <w:r>
        <w:rPr>
          <w:rFonts w:ascii="David" w:hAnsi="David"/>
          <w:color w:val="000000"/>
          <w:rtl/>
        </w:rPr>
        <w:t xml:space="preserve"> הייתה עתידה לפקוע ביום 31.12.2020 הוחלט להקדים </w:t>
      </w:r>
      <w:r w:rsidR="00454B2C">
        <w:rPr>
          <w:rFonts w:ascii="David" w:hAnsi="David" w:hint="cs"/>
          <w:color w:val="000000"/>
          <w:rtl/>
        </w:rPr>
        <w:t>את</w:t>
      </w:r>
      <w:r>
        <w:rPr>
          <w:rFonts w:ascii="David" w:hAnsi="David"/>
          <w:color w:val="000000"/>
          <w:rtl/>
        </w:rPr>
        <w:t xml:space="preserve"> </w:t>
      </w:r>
      <w:r w:rsidR="00454B2C">
        <w:rPr>
          <w:rFonts w:ascii="David" w:hAnsi="David" w:hint="cs"/>
          <w:color w:val="000000"/>
          <w:rtl/>
        </w:rPr>
        <w:t xml:space="preserve">מועד </w:t>
      </w:r>
      <w:r>
        <w:rPr>
          <w:rFonts w:ascii="David" w:hAnsi="David"/>
          <w:color w:val="000000"/>
          <w:rtl/>
        </w:rPr>
        <w:t xml:space="preserve">פקיעתה </w:t>
      </w:r>
      <w:r w:rsidR="00454B2C">
        <w:rPr>
          <w:rFonts w:ascii="David" w:hAnsi="David" w:hint="cs"/>
          <w:color w:val="000000"/>
          <w:rtl/>
        </w:rPr>
        <w:t xml:space="preserve">של הוראת השעה </w:t>
      </w:r>
      <w:r>
        <w:rPr>
          <w:rFonts w:ascii="David" w:hAnsi="David"/>
          <w:color w:val="000000"/>
          <w:rtl/>
        </w:rPr>
        <w:t>ליום 29.7.20, כך שהחל ממועד זה חזרו לתוקף מדרגות מס הרכישה המופחתות, שהיו קבועות בדין טרם נחקקה הוראת השעה.</w:t>
      </w:r>
    </w:p>
    <w:p w:rsidR="00264D90" w:rsidRDefault="00264D90" w:rsidP="00264D90">
      <w:pPr>
        <w:spacing w:line="360" w:lineRule="auto"/>
        <w:jc w:val="both"/>
        <w:rPr>
          <w:rFonts w:ascii="David" w:hAnsi="David"/>
          <w:noProof w:val="0"/>
          <w:u w:val="single"/>
        </w:rPr>
      </w:pPr>
    </w:p>
    <w:p w:rsidR="00264D90" w:rsidRDefault="00264D90" w:rsidP="006E1B47">
      <w:pPr>
        <w:pStyle w:val="ad"/>
        <w:numPr>
          <w:ilvl w:val="0"/>
          <w:numId w:val="2"/>
        </w:numPr>
        <w:tabs>
          <w:tab w:val="left" w:pos="960"/>
        </w:tabs>
        <w:spacing w:line="360" w:lineRule="auto"/>
        <w:jc w:val="both"/>
        <w:rPr>
          <w:rFonts w:ascii="David" w:hAnsi="David"/>
          <w:noProof w:val="0"/>
        </w:rPr>
      </w:pPr>
      <w:r>
        <w:rPr>
          <w:rFonts w:ascii="David" w:hAnsi="David"/>
          <w:noProof w:val="0"/>
          <w:rtl/>
        </w:rPr>
        <w:t xml:space="preserve">לפי המשיב, בטופס ההצהרה שהוגש לו </w:t>
      </w:r>
      <w:r w:rsidR="006E1B47">
        <w:rPr>
          <w:rFonts w:ascii="David" w:hAnsi="David" w:hint="cs"/>
          <w:noProof w:val="0"/>
          <w:rtl/>
        </w:rPr>
        <w:t xml:space="preserve">מטעם העוררים </w:t>
      </w:r>
      <w:r>
        <w:rPr>
          <w:rFonts w:ascii="David" w:hAnsi="David"/>
          <w:noProof w:val="0"/>
          <w:rtl/>
        </w:rPr>
        <w:t xml:space="preserve">נכתב תחת "יום ושווי המכירה" כי: "בתאריך 20.7.20 נמכרה הזכות במקרקעין שפרטיה רשומים בחלק ג של ההצהרה בתמורה כספית (ללא מע"מ) בסך 2,290,000 ₪". </w:t>
      </w:r>
    </w:p>
    <w:p w:rsidR="00264D90" w:rsidRDefault="00264D90" w:rsidP="00264D90">
      <w:pPr>
        <w:pStyle w:val="ad"/>
        <w:rPr>
          <w:rFonts w:ascii="David" w:hAnsi="David"/>
          <w:noProof w:val="0"/>
          <w:rtl/>
        </w:rPr>
      </w:pPr>
    </w:p>
    <w:p w:rsidR="00264D90" w:rsidRDefault="00264D90" w:rsidP="00264D90">
      <w:pPr>
        <w:pStyle w:val="ad"/>
        <w:numPr>
          <w:ilvl w:val="0"/>
          <w:numId w:val="2"/>
        </w:numPr>
        <w:tabs>
          <w:tab w:val="left" w:pos="960"/>
        </w:tabs>
        <w:spacing w:line="360" w:lineRule="auto"/>
        <w:jc w:val="both"/>
        <w:rPr>
          <w:rFonts w:ascii="David" w:hAnsi="David"/>
          <w:noProof w:val="0"/>
        </w:rPr>
      </w:pPr>
      <w:r>
        <w:rPr>
          <w:rFonts w:ascii="David" w:hAnsi="David"/>
          <w:noProof w:val="0"/>
          <w:rtl/>
        </w:rPr>
        <w:t>לטענת המשיב, בתאריך 20.7.20 חלו מדרגות מס רכישה בהתאם לסעיף 9(ג1ה)</w:t>
      </w:r>
      <w:r w:rsidR="006E1B47">
        <w:rPr>
          <w:rFonts w:ascii="David" w:hAnsi="David" w:hint="cs"/>
          <w:noProof w:val="0"/>
          <w:rtl/>
        </w:rPr>
        <w:t xml:space="preserve"> לחוק</w:t>
      </w:r>
      <w:r>
        <w:rPr>
          <w:rFonts w:ascii="David" w:hAnsi="David"/>
          <w:noProof w:val="0"/>
          <w:rtl/>
        </w:rPr>
        <w:t xml:space="preserve">. העובדה כי ביום </w:t>
      </w:r>
      <w:r w:rsidRPr="00FD73CB">
        <w:rPr>
          <w:rFonts w:ascii="David" w:hAnsi="David"/>
          <w:noProof w:val="0"/>
          <w:rtl/>
        </w:rPr>
        <w:t>29.7.20</w:t>
      </w:r>
      <w:r>
        <w:rPr>
          <w:rFonts w:ascii="David" w:hAnsi="David"/>
          <w:noProof w:val="0"/>
          <w:rtl/>
        </w:rPr>
        <w:t xml:space="preserve"> תוקן החוק ואושרה הפחתת מדרגות מס רכישה, לא מאפשרת לעוררים לתקן את יום המכירה לצורך ניצול מדרגות מס מופחתות, אשר פורסמו לאחר המועד בו התקשרו העוררים בחוזה מכר לרכישת הדירה.</w:t>
      </w:r>
    </w:p>
    <w:p w:rsidR="00264D90" w:rsidRDefault="00264D90" w:rsidP="00264D90">
      <w:pPr>
        <w:pStyle w:val="ad"/>
        <w:rPr>
          <w:rFonts w:ascii="David" w:hAnsi="David"/>
          <w:noProof w:val="0"/>
          <w:rtl/>
        </w:rPr>
      </w:pPr>
    </w:p>
    <w:p w:rsidR="00264D90" w:rsidRDefault="00176322" w:rsidP="006E1B47">
      <w:pPr>
        <w:pStyle w:val="ad"/>
        <w:numPr>
          <w:ilvl w:val="0"/>
          <w:numId w:val="2"/>
        </w:numPr>
        <w:tabs>
          <w:tab w:val="left" w:pos="960"/>
        </w:tabs>
        <w:spacing w:line="360" w:lineRule="auto"/>
        <w:jc w:val="both"/>
        <w:rPr>
          <w:rFonts w:ascii="David" w:hAnsi="David"/>
          <w:noProof w:val="0"/>
        </w:rPr>
      </w:pPr>
      <w:r>
        <w:rPr>
          <w:rFonts w:ascii="David" w:hAnsi="David"/>
          <w:noProof w:val="0"/>
          <w:rtl/>
        </w:rPr>
        <w:t>לטענת המשיב</w:t>
      </w:r>
      <w:r>
        <w:rPr>
          <w:rFonts w:ascii="David" w:hAnsi="David" w:hint="cs"/>
          <w:noProof w:val="0"/>
          <w:rtl/>
        </w:rPr>
        <w:t xml:space="preserve">, </w:t>
      </w:r>
      <w:r w:rsidR="00264D90">
        <w:rPr>
          <w:rFonts w:ascii="David" w:hAnsi="David"/>
          <w:noProof w:val="0"/>
          <w:rtl/>
        </w:rPr>
        <w:t xml:space="preserve">יש לדחות את </w:t>
      </w:r>
      <w:r w:rsidR="006E1B47">
        <w:rPr>
          <w:rFonts w:ascii="David" w:hAnsi="David" w:hint="cs"/>
          <w:noProof w:val="0"/>
          <w:rtl/>
        </w:rPr>
        <w:t>עמדת</w:t>
      </w:r>
      <w:r w:rsidR="00264D90">
        <w:rPr>
          <w:rFonts w:ascii="David" w:hAnsi="David"/>
          <w:noProof w:val="0"/>
          <w:rtl/>
        </w:rPr>
        <w:t xml:space="preserve"> העוררים, מאחר והיא נשענת על שינוי בחוק מסמ"ק אשר נכנס לתוקף לאחר שרכשו את דירתם, באופן </w:t>
      </w:r>
      <w:r w:rsidR="006E1B47">
        <w:rPr>
          <w:rFonts w:ascii="David" w:hAnsi="David" w:hint="cs"/>
          <w:noProof w:val="0"/>
          <w:rtl/>
        </w:rPr>
        <w:t>המבקש להחיל</w:t>
      </w:r>
      <w:r w:rsidR="00264D90">
        <w:rPr>
          <w:rFonts w:ascii="David" w:hAnsi="David"/>
          <w:noProof w:val="0"/>
          <w:rtl/>
        </w:rPr>
        <w:t xml:space="preserve"> את השינוי בדין על רכישת הדירה באופן רטרואקטיבי. </w:t>
      </w:r>
    </w:p>
    <w:p w:rsidR="00264D90" w:rsidRDefault="00264D90" w:rsidP="00264D90">
      <w:pPr>
        <w:pStyle w:val="ad"/>
        <w:rPr>
          <w:rFonts w:ascii="David" w:hAnsi="David"/>
          <w:noProof w:val="0"/>
          <w:rtl/>
        </w:rPr>
      </w:pPr>
    </w:p>
    <w:p w:rsidR="00264D90" w:rsidRDefault="006E1B47" w:rsidP="00264D90">
      <w:pPr>
        <w:pStyle w:val="ad"/>
        <w:numPr>
          <w:ilvl w:val="0"/>
          <w:numId w:val="2"/>
        </w:numPr>
        <w:tabs>
          <w:tab w:val="left" w:pos="960"/>
        </w:tabs>
        <w:spacing w:line="360" w:lineRule="auto"/>
        <w:jc w:val="both"/>
        <w:rPr>
          <w:rFonts w:ascii="David" w:hAnsi="David"/>
          <w:noProof w:val="0"/>
        </w:rPr>
      </w:pPr>
      <w:r>
        <w:rPr>
          <w:rFonts w:ascii="David" w:hAnsi="David"/>
          <w:noProof w:val="0"/>
          <w:rtl/>
        </w:rPr>
        <w:t>עוד ט</w:t>
      </w:r>
      <w:r w:rsidR="00264D90">
        <w:rPr>
          <w:rFonts w:ascii="David" w:hAnsi="David"/>
          <w:noProof w:val="0"/>
          <w:rtl/>
        </w:rPr>
        <w:t xml:space="preserve">ען המשיב, כי אין לאדם זכות מוקנית לכך שמדיניות כלכלית שהייתה נהוגה תימשך או שמדיניות מסוימת תיוותר על כנה גם לעתיד לבוא ולפיכך, טענת ההסתמכות מעיקרא מוגבלת. </w:t>
      </w:r>
    </w:p>
    <w:p w:rsidR="00264D90" w:rsidRDefault="00264D90" w:rsidP="00264D90">
      <w:pPr>
        <w:pStyle w:val="ad"/>
        <w:rPr>
          <w:rFonts w:ascii="David" w:hAnsi="David"/>
          <w:noProof w:val="0"/>
          <w:rtl/>
        </w:rPr>
      </w:pPr>
    </w:p>
    <w:p w:rsidR="00264D90" w:rsidRDefault="00264D90" w:rsidP="00176322">
      <w:pPr>
        <w:pStyle w:val="ad"/>
        <w:numPr>
          <w:ilvl w:val="0"/>
          <w:numId w:val="2"/>
        </w:numPr>
        <w:tabs>
          <w:tab w:val="left" w:pos="960"/>
        </w:tabs>
        <w:spacing w:line="360" w:lineRule="auto"/>
        <w:jc w:val="both"/>
        <w:rPr>
          <w:rFonts w:ascii="David" w:hAnsi="David"/>
          <w:noProof w:val="0"/>
        </w:rPr>
      </w:pPr>
      <w:r>
        <w:rPr>
          <w:rFonts w:ascii="David" w:hAnsi="David"/>
          <w:noProof w:val="0"/>
          <w:rtl/>
        </w:rPr>
        <w:lastRenderedPageBreak/>
        <w:t xml:space="preserve">לבסוף טען המשיב, כי עיקר טענות העוררים לגבי הליך החקיקה של </w:t>
      </w:r>
      <w:r w:rsidR="00176322">
        <w:rPr>
          <w:rFonts w:ascii="David" w:hAnsi="David" w:hint="cs"/>
          <w:noProof w:val="0"/>
          <w:rtl/>
        </w:rPr>
        <w:t xml:space="preserve">החוק המתקן </w:t>
      </w:r>
      <w:r>
        <w:rPr>
          <w:rFonts w:ascii="David" w:hAnsi="David"/>
          <w:noProof w:val="0"/>
          <w:rtl/>
        </w:rPr>
        <w:t xml:space="preserve">שמכוחו נגבה מס הרכישה, </w:t>
      </w:r>
      <w:r w:rsidR="006E1B47">
        <w:rPr>
          <w:rFonts w:ascii="David" w:hAnsi="David" w:hint="cs"/>
          <w:noProof w:val="0"/>
          <w:rtl/>
        </w:rPr>
        <w:t>נטענו</w:t>
      </w:r>
      <w:r>
        <w:rPr>
          <w:rFonts w:ascii="David" w:hAnsi="David"/>
          <w:noProof w:val="0"/>
          <w:rtl/>
        </w:rPr>
        <w:t xml:space="preserve"> </w:t>
      </w:r>
      <w:r w:rsidR="00176322">
        <w:rPr>
          <w:rFonts w:ascii="David" w:hAnsi="David"/>
          <w:noProof w:val="0"/>
          <w:rtl/>
        </w:rPr>
        <w:t xml:space="preserve">שלא כראוי </w:t>
      </w:r>
      <w:r>
        <w:rPr>
          <w:rFonts w:ascii="David" w:hAnsi="David"/>
          <w:noProof w:val="0"/>
          <w:rtl/>
        </w:rPr>
        <w:t xml:space="preserve">במסגרת תקיפה עקיפה בפני ועדת הערר. </w:t>
      </w:r>
    </w:p>
    <w:p w:rsidR="00264D90" w:rsidRDefault="00264D90" w:rsidP="00264D90">
      <w:pPr>
        <w:tabs>
          <w:tab w:val="left" w:pos="960"/>
        </w:tabs>
        <w:spacing w:line="360" w:lineRule="auto"/>
        <w:jc w:val="both"/>
        <w:rPr>
          <w:rFonts w:ascii="David" w:hAnsi="David"/>
          <w:noProof w:val="0"/>
          <w:rtl/>
        </w:rPr>
      </w:pPr>
    </w:p>
    <w:p w:rsidR="00264D90" w:rsidRDefault="00264D90" w:rsidP="00264D90">
      <w:pPr>
        <w:spacing w:line="360" w:lineRule="auto"/>
        <w:jc w:val="both"/>
        <w:rPr>
          <w:rFonts w:ascii="David" w:hAnsi="David"/>
          <w:b/>
          <w:bCs/>
          <w:noProof w:val="0"/>
          <w:u w:val="single"/>
        </w:rPr>
      </w:pPr>
      <w:r>
        <w:rPr>
          <w:rFonts w:ascii="David" w:hAnsi="David"/>
          <w:b/>
          <w:bCs/>
          <w:noProof w:val="0"/>
          <w:u w:val="single"/>
          <w:rtl/>
        </w:rPr>
        <w:t xml:space="preserve">דיון והכרעה </w:t>
      </w:r>
    </w:p>
    <w:p w:rsidR="00264D90" w:rsidRDefault="00264D90" w:rsidP="00264D90">
      <w:pPr>
        <w:spacing w:line="360" w:lineRule="auto"/>
        <w:jc w:val="both"/>
        <w:rPr>
          <w:rFonts w:ascii="David" w:hAnsi="David"/>
          <w:noProof w:val="0"/>
          <w:u w:val="single"/>
        </w:rPr>
      </w:pPr>
      <w:r>
        <w:rPr>
          <w:rFonts w:ascii="David" w:hAnsi="David"/>
          <w:noProof w:val="0"/>
          <w:u w:val="single"/>
          <w:rtl/>
        </w:rPr>
        <w:t>תשתית נורמטיבית</w:t>
      </w:r>
    </w:p>
    <w:p w:rsidR="00264D90" w:rsidRDefault="00264D90" w:rsidP="006E1B47">
      <w:pPr>
        <w:pStyle w:val="ad"/>
        <w:numPr>
          <w:ilvl w:val="0"/>
          <w:numId w:val="2"/>
        </w:numPr>
        <w:spacing w:line="360" w:lineRule="auto"/>
        <w:jc w:val="both"/>
        <w:rPr>
          <w:rFonts w:ascii="David" w:hAnsi="David"/>
          <w:noProof w:val="0"/>
          <w:u w:val="single"/>
          <w:rtl/>
        </w:rPr>
      </w:pPr>
      <w:r>
        <w:rPr>
          <w:rFonts w:ascii="David" w:hAnsi="David"/>
          <w:noProof w:val="0"/>
          <w:rtl/>
        </w:rPr>
        <w:t xml:space="preserve">סעיף 9(א) לחוק מסמ"ק </w:t>
      </w:r>
      <w:r w:rsidR="006E1B47">
        <w:rPr>
          <w:rFonts w:ascii="David" w:hAnsi="David" w:hint="cs"/>
          <w:noProof w:val="0"/>
          <w:rtl/>
        </w:rPr>
        <w:t>מחייב</w:t>
      </w:r>
      <w:r>
        <w:rPr>
          <w:rFonts w:ascii="David" w:hAnsi="David"/>
          <w:noProof w:val="0"/>
          <w:rtl/>
        </w:rPr>
        <w:t xml:space="preserve"> נישום במס רכישה ברכישת</w:t>
      </w:r>
      <w:r w:rsidR="006E1B47">
        <w:rPr>
          <w:rFonts w:ascii="David" w:hAnsi="David" w:hint="cs"/>
          <w:noProof w:val="0"/>
          <w:rtl/>
        </w:rPr>
        <w:t xml:space="preserve"> זכות</w:t>
      </w:r>
      <w:r>
        <w:rPr>
          <w:rFonts w:ascii="David" w:hAnsi="David"/>
          <w:noProof w:val="0"/>
          <w:rtl/>
        </w:rPr>
        <w:t xml:space="preserve"> </w:t>
      </w:r>
      <w:r w:rsidR="006E1B47">
        <w:rPr>
          <w:rFonts w:ascii="David" w:hAnsi="David" w:hint="cs"/>
          <w:noProof w:val="0"/>
          <w:rtl/>
        </w:rPr>
        <w:t>ב</w:t>
      </w:r>
      <w:r>
        <w:rPr>
          <w:rFonts w:ascii="David" w:hAnsi="David"/>
          <w:noProof w:val="0"/>
          <w:rtl/>
        </w:rPr>
        <w:t>מקרקעין:</w:t>
      </w:r>
    </w:p>
    <w:p w:rsidR="00264D90" w:rsidRDefault="00264D90" w:rsidP="00264D90">
      <w:pPr>
        <w:pStyle w:val="ad"/>
        <w:spacing w:line="360" w:lineRule="auto"/>
        <w:jc w:val="both"/>
        <w:rPr>
          <w:rFonts w:ascii="David" w:hAnsi="David"/>
          <w:noProof w:val="0"/>
          <w:u w:val="single"/>
        </w:rPr>
      </w:pPr>
    </w:p>
    <w:p w:rsidR="00264D90" w:rsidRDefault="00264D90" w:rsidP="00264D90">
      <w:pPr>
        <w:pStyle w:val="ad"/>
        <w:spacing w:line="360" w:lineRule="auto"/>
        <w:ind w:left="1417"/>
        <w:jc w:val="both"/>
        <w:rPr>
          <w:rFonts w:ascii="David" w:hAnsi="David"/>
          <w:b/>
          <w:bCs/>
          <w:noProof w:val="0"/>
          <w:sz w:val="22"/>
          <w:szCs w:val="22"/>
        </w:rPr>
      </w:pPr>
      <w:r>
        <w:rPr>
          <w:rFonts w:ascii="David" w:hAnsi="David"/>
          <w:b/>
          <w:bCs/>
          <w:color w:val="000000"/>
          <w:rtl/>
        </w:rPr>
        <w:t>"במכירת זכות במקרקעין יהא הרוכש חייב במס רכישת מקרקעין (להלן – מס רכישה); מס הרכישה יהיה בשיעור משווי המכירה או בסכום קבוע, לפי סוג המכירה או המקרקעין, הכל כפי שיקבע שר האוצר באישור ועדת הכספים של הכנסת, ובלבד שלגבי מכירת זכות במקרקעין לרוכש הנמנה עם קבוצת רכישה לגבי נכס שאינו דירת מגורים יהא שווי המכירה – שווי המכירה של הנכס הבנוי שאינו דירת מגורים</w:t>
      </w:r>
      <w:r>
        <w:rPr>
          <w:rFonts w:ascii="David" w:hAnsi="David"/>
          <w:b/>
          <w:bCs/>
          <w:color w:val="000000"/>
        </w:rPr>
        <w:t>.</w:t>
      </w:r>
      <w:r>
        <w:rPr>
          <w:rFonts w:ascii="David" w:hAnsi="David"/>
          <w:b/>
          <w:bCs/>
          <w:noProof w:val="0"/>
          <w:sz w:val="22"/>
          <w:szCs w:val="22"/>
          <w:rtl/>
        </w:rPr>
        <w:t>"</w:t>
      </w:r>
    </w:p>
    <w:p w:rsidR="00264D90" w:rsidRDefault="00264D90" w:rsidP="00264D90">
      <w:pPr>
        <w:spacing w:line="360" w:lineRule="auto"/>
        <w:jc w:val="both"/>
        <w:rPr>
          <w:rFonts w:ascii="David" w:hAnsi="David"/>
          <w:noProof w:val="0"/>
          <w:u w:val="single"/>
          <w:rtl/>
        </w:rPr>
      </w:pPr>
    </w:p>
    <w:p w:rsidR="00264D90" w:rsidRDefault="00264D90" w:rsidP="00264D90">
      <w:pPr>
        <w:pStyle w:val="ad"/>
        <w:numPr>
          <w:ilvl w:val="0"/>
          <w:numId w:val="2"/>
        </w:numPr>
        <w:spacing w:line="360" w:lineRule="auto"/>
        <w:jc w:val="both"/>
        <w:rPr>
          <w:rFonts w:ascii="David" w:hAnsi="David"/>
          <w:noProof w:val="0"/>
        </w:rPr>
      </w:pPr>
      <w:r>
        <w:rPr>
          <w:rFonts w:ascii="David" w:hAnsi="David"/>
          <w:noProof w:val="0"/>
          <w:rtl/>
        </w:rPr>
        <w:t xml:space="preserve">במסגרת תיקון 76 לחוק מיום 5.8.13 נקבעו בסעיף 9(ג1ג) שיעורי מס הרכישה של דירת מגורים כדלקמן: </w:t>
      </w:r>
    </w:p>
    <w:p w:rsidR="00264D90" w:rsidRDefault="00264D90" w:rsidP="00264D90">
      <w:pPr>
        <w:pStyle w:val="ad"/>
        <w:spacing w:line="360" w:lineRule="auto"/>
        <w:jc w:val="both"/>
        <w:rPr>
          <w:rFonts w:ascii="David" w:hAnsi="David"/>
          <w:noProof w:val="0"/>
          <w:rtl/>
        </w:rPr>
      </w:pPr>
    </w:p>
    <w:p w:rsidR="00264D90" w:rsidRDefault="00264D90" w:rsidP="00264D90">
      <w:pPr>
        <w:pStyle w:val="p00"/>
        <w:bidi/>
        <w:spacing w:before="0" w:beforeAutospacing="0" w:after="0" w:afterAutospacing="0" w:line="360" w:lineRule="auto"/>
        <w:ind w:left="1417"/>
        <w:jc w:val="both"/>
        <w:rPr>
          <w:rFonts w:ascii="David" w:hAnsi="David" w:cs="David"/>
          <w:b/>
          <w:bCs/>
          <w:color w:val="000000"/>
          <w:sz w:val="18"/>
          <w:szCs w:val="18"/>
        </w:rPr>
      </w:pPr>
      <w:r>
        <w:rPr>
          <w:rStyle w:val="default"/>
          <w:rFonts w:ascii="David" w:hAnsi="David" w:cs="David"/>
          <w:b/>
          <w:bCs/>
          <w:color w:val="000000"/>
          <w:rtl/>
        </w:rPr>
        <w:t>"במכירת זכות במקרקעין, שהם בניין או חלק ממנו שהוא דירת מגורים, שנעשתה ביום כ"ה באב התשע"ג (1 באוגוסט 2013) או לאחריו, ישולם מס רכישה בשיעור משווי הזכות הנמכרת כקבוע להלן:</w:t>
      </w:r>
    </w:p>
    <w:p w:rsidR="00264D90" w:rsidRDefault="00264D90" w:rsidP="00264D90">
      <w:pPr>
        <w:pStyle w:val="p00"/>
        <w:bidi/>
        <w:spacing w:before="0" w:beforeAutospacing="0" w:after="0" w:afterAutospacing="0" w:line="360" w:lineRule="auto"/>
        <w:ind w:left="1417"/>
        <w:jc w:val="both"/>
        <w:rPr>
          <w:rFonts w:ascii="David" w:hAnsi="David" w:cs="David"/>
          <w:b/>
          <w:bCs/>
          <w:color w:val="000000"/>
          <w:sz w:val="18"/>
          <w:szCs w:val="18"/>
          <w:rtl/>
        </w:rPr>
      </w:pPr>
      <w:r>
        <w:rPr>
          <w:rStyle w:val="default"/>
          <w:rFonts w:ascii="David" w:hAnsi="David" w:cs="David"/>
          <w:b/>
          <w:bCs/>
          <w:color w:val="000000"/>
          <w:rtl/>
        </w:rPr>
        <w:lastRenderedPageBreak/>
        <w:t>(א)   על חלק השווי שעד 1,089,350 שקלים חדשים – 5%;</w:t>
      </w:r>
    </w:p>
    <w:p w:rsidR="00264D90" w:rsidRDefault="00264D90" w:rsidP="00264D90">
      <w:pPr>
        <w:pStyle w:val="p00"/>
        <w:bidi/>
        <w:spacing w:before="0" w:beforeAutospacing="0" w:after="0" w:afterAutospacing="0" w:line="360" w:lineRule="auto"/>
        <w:ind w:left="1417"/>
        <w:jc w:val="both"/>
        <w:rPr>
          <w:rFonts w:ascii="David" w:hAnsi="David" w:cs="David"/>
          <w:b/>
          <w:bCs/>
          <w:color w:val="000000"/>
          <w:sz w:val="18"/>
          <w:szCs w:val="18"/>
        </w:rPr>
      </w:pPr>
      <w:r>
        <w:rPr>
          <w:rStyle w:val="default"/>
          <w:rFonts w:ascii="David" w:hAnsi="David" w:cs="David"/>
          <w:b/>
          <w:bCs/>
          <w:color w:val="000000"/>
          <w:rtl/>
        </w:rPr>
        <w:t>(ב)   על חלק השווי העולה על 1,089,350 שקלים חדשים ועד 3,268,040 שקלים חדשים – 6%;</w:t>
      </w:r>
    </w:p>
    <w:p w:rsidR="00264D90" w:rsidRDefault="00264D90" w:rsidP="00264D90">
      <w:pPr>
        <w:pStyle w:val="p00"/>
        <w:bidi/>
        <w:spacing w:before="0" w:beforeAutospacing="0" w:after="0" w:afterAutospacing="0" w:line="360" w:lineRule="auto"/>
        <w:ind w:left="1417"/>
        <w:jc w:val="both"/>
        <w:rPr>
          <w:rFonts w:ascii="David" w:hAnsi="David" w:cs="David"/>
          <w:b/>
          <w:bCs/>
          <w:color w:val="000000"/>
          <w:sz w:val="18"/>
          <w:szCs w:val="18"/>
          <w:rtl/>
        </w:rPr>
      </w:pPr>
      <w:r>
        <w:rPr>
          <w:rStyle w:val="default"/>
          <w:rFonts w:ascii="David" w:hAnsi="David" w:cs="David"/>
          <w:b/>
          <w:bCs/>
          <w:color w:val="000000"/>
          <w:rtl/>
        </w:rPr>
        <w:t>(ג)    על חלק השווי העולה על 3,268,040 שקלים חדשים ועד 4,500,000 שקלים חדשים – 7%;</w:t>
      </w:r>
    </w:p>
    <w:p w:rsidR="00264D90" w:rsidRDefault="00264D90" w:rsidP="00264D90">
      <w:pPr>
        <w:pStyle w:val="p00"/>
        <w:bidi/>
        <w:spacing w:before="0" w:beforeAutospacing="0" w:after="0" w:afterAutospacing="0" w:line="360" w:lineRule="auto"/>
        <w:ind w:left="1417"/>
        <w:jc w:val="both"/>
        <w:rPr>
          <w:rFonts w:ascii="David" w:hAnsi="David" w:cs="David"/>
          <w:b/>
          <w:bCs/>
          <w:color w:val="000000"/>
          <w:sz w:val="18"/>
          <w:szCs w:val="18"/>
          <w:rtl/>
        </w:rPr>
      </w:pPr>
      <w:r>
        <w:rPr>
          <w:rStyle w:val="default"/>
          <w:rFonts w:ascii="David" w:hAnsi="David" w:cs="David"/>
          <w:b/>
          <w:bCs/>
          <w:color w:val="000000"/>
          <w:rtl/>
        </w:rPr>
        <w:t>(ד)   על חלק השווי העולה על 4,500,000 שקלים חדשים ועד 15,000,000 – 8%;</w:t>
      </w:r>
    </w:p>
    <w:p w:rsidR="00264D90" w:rsidRDefault="00264D90" w:rsidP="00264D90">
      <w:pPr>
        <w:pStyle w:val="p00"/>
        <w:bidi/>
        <w:spacing w:before="0" w:beforeAutospacing="0" w:after="0" w:afterAutospacing="0" w:line="360" w:lineRule="auto"/>
        <w:ind w:left="1417"/>
        <w:jc w:val="both"/>
        <w:rPr>
          <w:rFonts w:ascii="David" w:hAnsi="David" w:cs="David"/>
          <w:b/>
          <w:bCs/>
          <w:color w:val="000000"/>
          <w:sz w:val="18"/>
          <w:szCs w:val="18"/>
          <w:rtl/>
        </w:rPr>
      </w:pPr>
      <w:r>
        <w:rPr>
          <w:rStyle w:val="default"/>
          <w:rFonts w:ascii="David" w:hAnsi="David" w:cs="David"/>
          <w:b/>
          <w:bCs/>
          <w:color w:val="000000"/>
          <w:rtl/>
        </w:rPr>
        <w:t>(ה)   על חלק השווי העולה על 15,000,000 שקלים חדשים – 10%;</w:t>
      </w:r>
      <w:r>
        <w:rPr>
          <w:rFonts w:ascii="David" w:hAnsi="David" w:cs="David"/>
          <w:b/>
          <w:bCs/>
          <w:color w:val="000000"/>
          <w:sz w:val="18"/>
          <w:szCs w:val="18"/>
          <w:rtl/>
        </w:rPr>
        <w:t>"</w:t>
      </w:r>
    </w:p>
    <w:p w:rsidR="00264D90" w:rsidRDefault="00264D90" w:rsidP="00264D90">
      <w:pPr>
        <w:pStyle w:val="p00"/>
        <w:bidi/>
        <w:spacing w:before="0" w:beforeAutospacing="0" w:after="0" w:afterAutospacing="0"/>
        <w:ind w:left="1417"/>
        <w:jc w:val="both"/>
        <w:rPr>
          <w:rFonts w:ascii="David" w:hAnsi="David" w:cs="David"/>
          <w:b/>
          <w:bCs/>
          <w:color w:val="000000"/>
          <w:sz w:val="18"/>
          <w:szCs w:val="18"/>
          <w:rtl/>
        </w:rPr>
      </w:pPr>
    </w:p>
    <w:p w:rsidR="00264D90" w:rsidRDefault="00264D90" w:rsidP="00264D90">
      <w:pPr>
        <w:pStyle w:val="p00"/>
        <w:bidi/>
        <w:spacing w:before="0" w:beforeAutospacing="0" w:after="0" w:afterAutospacing="0"/>
        <w:ind w:left="1417"/>
        <w:jc w:val="both"/>
        <w:rPr>
          <w:rFonts w:ascii="David" w:hAnsi="David" w:cs="David"/>
          <w:b/>
          <w:bCs/>
          <w:color w:val="000000"/>
          <w:sz w:val="18"/>
          <w:szCs w:val="18"/>
          <w:rtl/>
        </w:rPr>
      </w:pPr>
    </w:p>
    <w:p w:rsidR="00264D90" w:rsidRDefault="00264D90" w:rsidP="00264D90">
      <w:pPr>
        <w:pStyle w:val="ad"/>
        <w:numPr>
          <w:ilvl w:val="0"/>
          <w:numId w:val="2"/>
        </w:numPr>
        <w:spacing w:line="360" w:lineRule="auto"/>
        <w:jc w:val="both"/>
        <w:rPr>
          <w:rFonts w:ascii="David" w:hAnsi="David"/>
          <w:noProof w:val="0"/>
          <w:rtl/>
        </w:rPr>
      </w:pPr>
      <w:r>
        <w:rPr>
          <w:rFonts w:ascii="David" w:hAnsi="David"/>
          <w:noProof w:val="0"/>
          <w:rtl/>
        </w:rPr>
        <w:t>ביום 23.6.15 נחקקה הוראת שעה שתחילתה ביום 24.6.15 וסופה ביום 31.12.20, במסגרתה שונו מדרגות מס הרכישה של דירת מגורים (שאינה דירתו היחידה של הרוכש) וכפועל יוצא הוגדל שי</w:t>
      </w:r>
      <w:r w:rsidR="006E1B47">
        <w:rPr>
          <w:rFonts w:ascii="David" w:hAnsi="David"/>
          <w:noProof w:val="0"/>
          <w:rtl/>
        </w:rPr>
        <w:t xml:space="preserve">עור מס הרכישה שהרוכש נדרש לשלם </w:t>
      </w:r>
      <w:r w:rsidR="006E1B47">
        <w:rPr>
          <w:rFonts w:ascii="David" w:hAnsi="David" w:hint="cs"/>
          <w:noProof w:val="0"/>
          <w:rtl/>
        </w:rPr>
        <w:t>כ</w:t>
      </w:r>
      <w:r>
        <w:rPr>
          <w:rFonts w:ascii="David" w:hAnsi="David"/>
          <w:noProof w:val="0"/>
          <w:rtl/>
        </w:rPr>
        <w:t xml:space="preserve">האי לישנא: </w:t>
      </w:r>
    </w:p>
    <w:p w:rsidR="00264D90" w:rsidRDefault="00264D90" w:rsidP="00264D90">
      <w:pPr>
        <w:pStyle w:val="ad"/>
        <w:spacing w:line="360" w:lineRule="auto"/>
        <w:jc w:val="both"/>
        <w:rPr>
          <w:rFonts w:ascii="David" w:hAnsi="David"/>
          <w:noProof w:val="0"/>
          <w:rtl/>
        </w:rPr>
      </w:pPr>
    </w:p>
    <w:p w:rsidR="00264D90" w:rsidRDefault="00264D90" w:rsidP="00264D90">
      <w:pPr>
        <w:pStyle w:val="ad"/>
        <w:spacing w:line="360" w:lineRule="auto"/>
        <w:ind w:left="1417"/>
        <w:jc w:val="both"/>
        <w:rPr>
          <w:rFonts w:ascii="David" w:hAnsi="David"/>
          <w:b/>
          <w:bCs/>
        </w:rPr>
      </w:pPr>
      <w:r>
        <w:rPr>
          <w:rFonts w:ascii="David" w:hAnsi="David"/>
          <w:b/>
          <w:bCs/>
          <w:rtl/>
        </w:rPr>
        <w:t>"(ג1ה) על אף האמור בפסקה (1) של סעיף קטן (ג1ג), במכירת זכות במקרקעין</w:t>
      </w:r>
      <w:r>
        <w:rPr>
          <w:rFonts w:ascii="David" w:hAnsi="David"/>
          <w:b/>
          <w:bCs/>
        </w:rPr>
        <w:t xml:space="preserve">, </w:t>
      </w:r>
      <w:r>
        <w:rPr>
          <w:rFonts w:ascii="David" w:hAnsi="David"/>
          <w:b/>
          <w:bCs/>
          <w:rtl/>
        </w:rPr>
        <w:t>שהם בניין או חלק ממנו שהוא דירת מגורים, שלא חלות לגביה הוראות פסקה (2)</w:t>
      </w:r>
      <w:r>
        <w:rPr>
          <w:rFonts w:ascii="David" w:hAnsi="David"/>
          <w:b/>
          <w:bCs/>
        </w:rPr>
        <w:t xml:space="preserve"> </w:t>
      </w:r>
      <w:r>
        <w:rPr>
          <w:rFonts w:ascii="David" w:hAnsi="David"/>
          <w:b/>
          <w:bCs/>
          <w:rtl/>
        </w:rPr>
        <w:t>של הסעיף הקטן האמור, שנעשתה מיום ז' בתמוז התשע"ה (24 ביוני 2015)</w:t>
      </w:r>
      <w:r>
        <w:rPr>
          <w:rFonts w:ascii="David" w:hAnsi="David"/>
          <w:b/>
          <w:bCs/>
        </w:rPr>
        <w:t xml:space="preserve"> </w:t>
      </w:r>
      <w:r>
        <w:rPr>
          <w:rFonts w:ascii="David" w:hAnsi="David"/>
          <w:b/>
          <w:bCs/>
          <w:rtl/>
        </w:rPr>
        <w:t>עד יום ט"ז בטבת התשפ"א (31 בדצמבר 2020), ישולם מס רכישה בשיעור משווי הזכות הנמכרת כקבוע להלן</w:t>
      </w:r>
      <w:r>
        <w:rPr>
          <w:rFonts w:ascii="David" w:hAnsi="David"/>
          <w:b/>
          <w:bCs/>
        </w:rPr>
        <w:t xml:space="preserve"> :</w:t>
      </w:r>
    </w:p>
    <w:p w:rsidR="00264D90" w:rsidRDefault="00264D90" w:rsidP="00264D90">
      <w:pPr>
        <w:pStyle w:val="ad"/>
        <w:numPr>
          <w:ilvl w:val="0"/>
          <w:numId w:val="3"/>
        </w:numPr>
        <w:spacing w:line="360" w:lineRule="auto"/>
        <w:jc w:val="both"/>
        <w:rPr>
          <w:rFonts w:ascii="David" w:hAnsi="David"/>
          <w:b/>
          <w:bCs/>
          <w:rtl/>
        </w:rPr>
      </w:pPr>
      <w:r>
        <w:rPr>
          <w:rFonts w:ascii="David" w:hAnsi="David"/>
          <w:b/>
          <w:bCs/>
          <w:rtl/>
        </w:rPr>
        <w:t>על חלק השווי שעד 4,800,605 שקלים חדשים – 8%</w:t>
      </w:r>
      <w:r>
        <w:rPr>
          <w:rFonts w:ascii="David" w:hAnsi="David"/>
          <w:b/>
          <w:bCs/>
        </w:rPr>
        <w:t>;</w:t>
      </w:r>
    </w:p>
    <w:p w:rsidR="00264D90" w:rsidRDefault="00264D90" w:rsidP="00264D90">
      <w:pPr>
        <w:pStyle w:val="ad"/>
        <w:numPr>
          <w:ilvl w:val="0"/>
          <w:numId w:val="3"/>
        </w:numPr>
        <w:spacing w:line="360" w:lineRule="auto"/>
        <w:jc w:val="both"/>
        <w:rPr>
          <w:rFonts w:ascii="David" w:hAnsi="David"/>
          <w:b/>
          <w:bCs/>
          <w:noProof w:val="0"/>
          <w:rtl/>
        </w:rPr>
      </w:pPr>
      <w:r>
        <w:rPr>
          <w:rFonts w:ascii="David" w:hAnsi="David"/>
          <w:b/>
          <w:bCs/>
          <w:rtl/>
        </w:rPr>
        <w:t>על חלק השווי העולה על 4,800,605 שקלים חדשים - 10%.</w:t>
      </w:r>
      <w:r>
        <w:rPr>
          <w:rFonts w:ascii="David" w:hAnsi="David"/>
          <w:b/>
          <w:bCs/>
        </w:rPr>
        <w:t>";</w:t>
      </w:r>
    </w:p>
    <w:p w:rsidR="00264D90" w:rsidRDefault="00264D90" w:rsidP="00264D90">
      <w:pPr>
        <w:pStyle w:val="ad"/>
        <w:spacing w:line="360" w:lineRule="auto"/>
        <w:jc w:val="both"/>
        <w:rPr>
          <w:rFonts w:ascii="David" w:hAnsi="David"/>
          <w:noProof w:val="0"/>
        </w:rPr>
      </w:pPr>
    </w:p>
    <w:p w:rsidR="00264D90" w:rsidRDefault="00264D90" w:rsidP="00176322">
      <w:pPr>
        <w:pStyle w:val="ad"/>
        <w:numPr>
          <w:ilvl w:val="0"/>
          <w:numId w:val="2"/>
        </w:numPr>
        <w:spacing w:line="360" w:lineRule="auto"/>
        <w:jc w:val="both"/>
        <w:rPr>
          <w:rFonts w:ascii="David" w:hAnsi="David"/>
          <w:noProof w:val="0"/>
        </w:rPr>
      </w:pPr>
      <w:r>
        <w:rPr>
          <w:rFonts w:ascii="David" w:hAnsi="David"/>
          <w:noProof w:val="0"/>
          <w:rtl/>
        </w:rPr>
        <w:lastRenderedPageBreak/>
        <w:t xml:space="preserve">ביום </w:t>
      </w:r>
      <w:r w:rsidRPr="00FD73CB">
        <w:rPr>
          <w:rFonts w:ascii="David" w:hAnsi="David"/>
          <w:noProof w:val="0"/>
          <w:rtl/>
        </w:rPr>
        <w:t>29.7.20</w:t>
      </w:r>
      <w:r>
        <w:rPr>
          <w:rFonts w:ascii="David" w:hAnsi="David"/>
          <w:noProof w:val="0"/>
          <w:rtl/>
        </w:rPr>
        <w:t xml:space="preserve"> פורסם ברשומות תיקון מספר 95 לחוק מסמ"ק (נספח 6 </w:t>
      </w:r>
      <w:r w:rsidRPr="002A40DD">
        <w:rPr>
          <w:rFonts w:ascii="David" w:hAnsi="David"/>
          <w:noProof w:val="0"/>
          <w:rtl/>
        </w:rPr>
        <w:t>לכתב התשובה</w:t>
      </w:r>
      <w:r>
        <w:rPr>
          <w:rFonts w:ascii="David" w:hAnsi="David"/>
          <w:noProof w:val="0"/>
          <w:rtl/>
        </w:rPr>
        <w:t>). התיקון פורסם כסעיף 17 לחוק התכנית לסיוע כלכלי (נגיף הקורונה החדש- מענק חד-פעמי) (הוראת שעה ותיקוני חקיקה), תש"ף-2020. כחלק מהתיקון בוטל סעיף 9(ג1ה) ומדרגות המס שנקבעו בו בהתאם. כמו כן, בסעיף 17(ב) נקבע</w:t>
      </w:r>
      <w:r w:rsidR="006E1B47">
        <w:rPr>
          <w:rFonts w:ascii="David" w:hAnsi="David" w:hint="cs"/>
          <w:noProof w:val="0"/>
          <w:rtl/>
        </w:rPr>
        <w:t>ה הוראת</w:t>
      </w:r>
      <w:r w:rsidR="006E1B47">
        <w:rPr>
          <w:rFonts w:ascii="David" w:hAnsi="David"/>
          <w:noProof w:val="0"/>
          <w:rtl/>
        </w:rPr>
        <w:t xml:space="preserve"> תחולה לפי</w:t>
      </w:r>
      <w:r w:rsidR="006E1B47">
        <w:rPr>
          <w:rFonts w:ascii="David" w:hAnsi="David" w:hint="cs"/>
          <w:noProof w:val="0"/>
          <w:rtl/>
        </w:rPr>
        <w:t>ה</w:t>
      </w:r>
      <w:r>
        <w:rPr>
          <w:rFonts w:ascii="David" w:hAnsi="David"/>
          <w:noProof w:val="0"/>
          <w:rtl/>
        </w:rPr>
        <w:t>: "</w:t>
      </w:r>
      <w:r>
        <w:rPr>
          <w:rFonts w:ascii="David" w:hAnsi="David"/>
          <w:b/>
          <w:bCs/>
          <w:noProof w:val="0"/>
          <w:rtl/>
        </w:rPr>
        <w:t>חוק מיסוי מקרקעין כנוסחו החדש של סעיף קטן (א) יחול על מכירת בניין או חלק ממנו שהוא דירת מגורים מיום תחילתו של חוק זה ואילך</w:t>
      </w:r>
      <w:r>
        <w:rPr>
          <w:rFonts w:ascii="David" w:hAnsi="David"/>
          <w:noProof w:val="0"/>
          <w:rtl/>
        </w:rPr>
        <w:t>" (להלן: "</w:t>
      </w:r>
      <w:r>
        <w:rPr>
          <w:rFonts w:ascii="David" w:hAnsi="David"/>
          <w:b/>
          <w:bCs/>
          <w:noProof w:val="0"/>
          <w:rtl/>
        </w:rPr>
        <w:t>סעיף התחולה</w:t>
      </w:r>
      <w:r>
        <w:rPr>
          <w:rFonts w:ascii="David" w:hAnsi="David"/>
          <w:noProof w:val="0"/>
          <w:rtl/>
        </w:rPr>
        <w:t>").</w:t>
      </w:r>
    </w:p>
    <w:p w:rsidR="00264D90" w:rsidRDefault="00264D90" w:rsidP="00264D90">
      <w:pPr>
        <w:pStyle w:val="ad"/>
        <w:spacing w:line="360" w:lineRule="auto"/>
        <w:jc w:val="both"/>
        <w:rPr>
          <w:rFonts w:ascii="David" w:hAnsi="David"/>
          <w:noProof w:val="0"/>
          <w:rtl/>
        </w:rPr>
      </w:pPr>
    </w:p>
    <w:p w:rsidR="00264D90" w:rsidRDefault="00264D90" w:rsidP="00264D90">
      <w:pPr>
        <w:pStyle w:val="ad"/>
        <w:numPr>
          <w:ilvl w:val="0"/>
          <w:numId w:val="2"/>
        </w:numPr>
        <w:spacing w:line="360" w:lineRule="auto"/>
        <w:jc w:val="both"/>
        <w:rPr>
          <w:rFonts w:ascii="David" w:hAnsi="David"/>
          <w:noProof w:val="0"/>
        </w:rPr>
      </w:pPr>
      <w:r>
        <w:rPr>
          <w:rFonts w:ascii="David" w:hAnsi="David"/>
          <w:noProof w:val="0"/>
          <w:rtl/>
        </w:rPr>
        <w:t xml:space="preserve">למעשה, אף שהוראת השעה הייתה עתידה לפקוע ביום 31.12.20 הקדים המחוקק את מועד פקיעתה ליום </w:t>
      </w:r>
      <w:r w:rsidRPr="00FD73CB">
        <w:rPr>
          <w:rFonts w:ascii="David" w:hAnsi="David"/>
          <w:noProof w:val="0"/>
          <w:rtl/>
        </w:rPr>
        <w:t>29.7.20, כך שהחל מיום זה על רכישת דירת מגורים (שאינה יחידה), חלו מדרגות מס הרכישה המופחתות שנקבעו טרם שנחקקה הוראת השעה (החל ממדרגה של 5%).</w:t>
      </w:r>
      <w:r>
        <w:rPr>
          <w:rFonts w:ascii="David" w:hAnsi="David"/>
          <w:noProof w:val="0"/>
          <w:rtl/>
        </w:rPr>
        <w:t xml:space="preserve"> </w:t>
      </w:r>
    </w:p>
    <w:p w:rsidR="00264D90" w:rsidRDefault="00264D90" w:rsidP="00264D90">
      <w:pPr>
        <w:pStyle w:val="ad"/>
        <w:rPr>
          <w:rFonts w:ascii="David" w:hAnsi="David"/>
          <w:noProof w:val="0"/>
        </w:rPr>
      </w:pPr>
    </w:p>
    <w:p w:rsidR="00264D90" w:rsidRDefault="00264D90" w:rsidP="006E1B47">
      <w:pPr>
        <w:pStyle w:val="ad"/>
        <w:numPr>
          <w:ilvl w:val="0"/>
          <w:numId w:val="2"/>
        </w:numPr>
        <w:spacing w:line="360" w:lineRule="auto"/>
        <w:jc w:val="both"/>
        <w:rPr>
          <w:rFonts w:ascii="David" w:hAnsi="David"/>
          <w:noProof w:val="0"/>
        </w:rPr>
      </w:pPr>
      <w:r>
        <w:rPr>
          <w:rFonts w:ascii="David" w:hAnsi="David"/>
          <w:noProof w:val="0"/>
          <w:rtl/>
        </w:rPr>
        <w:t>יצוין כי ביום 28.11.21 חזר שיעור מס הרכישה על דירה שנייה ל-8%, כאשר בסעיף ג(1)(ו) נקבעו מדרגות מס באופן דומה למדרגות שנקבעו בהוראת השעה (תוך הגדלת חלק השווי שעד אליו תחול מדרגה של 8%) (ראו לעניין זה חוק מיסוי מקרקעין (שבח ורכישה) (תיקון מס' 98), התש</w:t>
      </w:r>
      <w:r w:rsidR="006E1B47">
        <w:rPr>
          <w:rFonts w:ascii="David" w:hAnsi="David" w:hint="cs"/>
          <w:noProof w:val="0"/>
          <w:rtl/>
        </w:rPr>
        <w:t>"</w:t>
      </w:r>
      <w:r>
        <w:rPr>
          <w:rFonts w:ascii="David" w:hAnsi="David"/>
          <w:noProof w:val="0"/>
          <w:rtl/>
        </w:rPr>
        <w:t>פ-2021).</w:t>
      </w:r>
    </w:p>
    <w:p w:rsidR="00264D90" w:rsidRDefault="00264D90" w:rsidP="00264D90">
      <w:pPr>
        <w:pStyle w:val="ad"/>
        <w:rPr>
          <w:rFonts w:ascii="David" w:hAnsi="David"/>
          <w:noProof w:val="0"/>
          <w:rtl/>
        </w:rPr>
      </w:pPr>
    </w:p>
    <w:p w:rsidR="00264D90" w:rsidRDefault="00264D90" w:rsidP="00264D90">
      <w:pPr>
        <w:pStyle w:val="ad"/>
        <w:numPr>
          <w:ilvl w:val="0"/>
          <w:numId w:val="2"/>
        </w:numPr>
        <w:spacing w:line="360" w:lineRule="auto"/>
        <w:jc w:val="both"/>
        <w:rPr>
          <w:rFonts w:ascii="David" w:hAnsi="David"/>
          <w:noProof w:val="0"/>
        </w:rPr>
      </w:pPr>
      <w:r>
        <w:rPr>
          <w:rFonts w:ascii="David" w:hAnsi="David"/>
          <w:noProof w:val="0"/>
          <w:rtl/>
        </w:rPr>
        <w:t xml:space="preserve">האמור בסעיף 17(ב) </w:t>
      </w:r>
      <w:r w:rsidR="006E1B47">
        <w:rPr>
          <w:rFonts w:ascii="David" w:hAnsi="David" w:hint="cs"/>
          <w:noProof w:val="0"/>
          <w:rtl/>
        </w:rPr>
        <w:t xml:space="preserve">לחוק </w:t>
      </w:r>
      <w:r>
        <w:rPr>
          <w:rFonts w:ascii="David" w:hAnsi="David"/>
          <w:noProof w:val="0"/>
          <w:rtl/>
        </w:rPr>
        <w:t>כמובא לעיל, מתיישב עם סעיף 22 לחוק הפרשנות, התשמ"א- 1981 (להלן: "</w:t>
      </w:r>
      <w:r>
        <w:rPr>
          <w:rFonts w:ascii="David" w:hAnsi="David"/>
          <w:b/>
          <w:bCs/>
          <w:noProof w:val="0"/>
          <w:rtl/>
        </w:rPr>
        <w:t>חוק הפרשנות</w:t>
      </w:r>
      <w:r>
        <w:rPr>
          <w:rFonts w:ascii="David" w:hAnsi="David"/>
          <w:noProof w:val="0"/>
          <w:rtl/>
        </w:rPr>
        <w:t>") הקובע כי תחולתו של ביטול דין אינו משפיע על פעולות או חיובים באופן רטרואקטיבי, כדלקמן:</w:t>
      </w:r>
    </w:p>
    <w:p w:rsidR="00264D90" w:rsidRDefault="00264D90" w:rsidP="00264D90">
      <w:pPr>
        <w:spacing w:line="360" w:lineRule="auto"/>
        <w:jc w:val="both"/>
        <w:rPr>
          <w:rFonts w:ascii="David" w:hAnsi="David"/>
          <w:noProof w:val="0"/>
          <w:rtl/>
        </w:rPr>
      </w:pPr>
    </w:p>
    <w:p w:rsidR="00264D90" w:rsidRDefault="00264D90" w:rsidP="00264D90">
      <w:pPr>
        <w:spacing w:line="360" w:lineRule="auto"/>
        <w:ind w:left="1417"/>
        <w:jc w:val="both"/>
        <w:rPr>
          <w:rFonts w:ascii="David" w:hAnsi="David"/>
          <w:b/>
          <w:bCs/>
          <w:noProof w:val="0"/>
          <w:color w:val="000000"/>
        </w:rPr>
      </w:pPr>
      <w:r>
        <w:rPr>
          <w:rFonts w:ascii="David" w:hAnsi="David"/>
          <w:b/>
          <w:bCs/>
          <w:noProof w:val="0"/>
          <w:rtl/>
        </w:rPr>
        <w:t xml:space="preserve">"22. </w:t>
      </w:r>
      <w:r>
        <w:rPr>
          <w:rFonts w:ascii="David" w:hAnsi="David"/>
          <w:b/>
          <w:bCs/>
          <w:noProof w:val="0"/>
          <w:color w:val="000000"/>
          <w:rtl/>
        </w:rPr>
        <w:t>ביטולו של דין אין כוחו יפה</w:t>
      </w:r>
      <w:r>
        <w:rPr>
          <w:rFonts w:ascii="David" w:hAnsi="David"/>
          <w:b/>
          <w:bCs/>
          <w:noProof w:val="0"/>
          <w:color w:val="000000"/>
        </w:rPr>
        <w:t xml:space="preserve"> –</w:t>
      </w:r>
    </w:p>
    <w:p w:rsidR="00264D90" w:rsidRDefault="00264D90" w:rsidP="00264D90">
      <w:pPr>
        <w:spacing w:line="360" w:lineRule="auto"/>
        <w:ind w:left="1417"/>
        <w:jc w:val="both"/>
        <w:rPr>
          <w:rFonts w:ascii="David" w:hAnsi="David"/>
          <w:b/>
          <w:bCs/>
          <w:noProof w:val="0"/>
          <w:color w:val="000000"/>
        </w:rPr>
      </w:pPr>
      <w:r>
        <w:rPr>
          <w:rFonts w:ascii="David" w:hAnsi="David"/>
          <w:b/>
          <w:bCs/>
          <w:noProof w:val="0"/>
          <w:color w:val="000000"/>
        </w:rPr>
        <w:lastRenderedPageBreak/>
        <w:t>(1) </w:t>
      </w:r>
      <w:r>
        <w:rPr>
          <w:rFonts w:ascii="David" w:hAnsi="David"/>
          <w:b/>
          <w:bCs/>
          <w:noProof w:val="0"/>
          <w:color w:val="000000"/>
          <w:rtl/>
        </w:rPr>
        <w:t xml:space="preserve"> להחיות דבר שלא היה לו תוקף בשעה שהביטול נכנס לתקפו</w:t>
      </w:r>
      <w:r>
        <w:rPr>
          <w:rFonts w:ascii="David" w:hAnsi="David"/>
          <w:b/>
          <w:bCs/>
          <w:noProof w:val="0"/>
          <w:color w:val="000000"/>
        </w:rPr>
        <w:t>;</w:t>
      </w:r>
    </w:p>
    <w:p w:rsidR="00264D90" w:rsidRDefault="00264D90" w:rsidP="00264D90">
      <w:pPr>
        <w:spacing w:line="360" w:lineRule="auto"/>
        <w:ind w:left="1417"/>
        <w:jc w:val="both"/>
        <w:rPr>
          <w:rFonts w:ascii="David" w:hAnsi="David"/>
          <w:b/>
          <w:bCs/>
          <w:noProof w:val="0"/>
          <w:color w:val="000000"/>
        </w:rPr>
      </w:pPr>
      <w:r>
        <w:rPr>
          <w:rFonts w:ascii="David" w:hAnsi="David"/>
          <w:b/>
          <w:bCs/>
          <w:noProof w:val="0"/>
          <w:color w:val="000000"/>
        </w:rPr>
        <w:t>(2) </w:t>
      </w:r>
      <w:r>
        <w:rPr>
          <w:rFonts w:ascii="David" w:hAnsi="David"/>
          <w:b/>
          <w:bCs/>
          <w:noProof w:val="0"/>
          <w:color w:val="000000"/>
          <w:rtl/>
        </w:rPr>
        <w:t xml:space="preserve"> להשפיע על פעולה קודמת של הדין המבוטל או על מה שנעשה לפיו</w:t>
      </w:r>
      <w:r>
        <w:rPr>
          <w:rFonts w:ascii="David" w:hAnsi="David"/>
          <w:b/>
          <w:bCs/>
          <w:noProof w:val="0"/>
          <w:color w:val="000000"/>
        </w:rPr>
        <w:t>;</w:t>
      </w:r>
    </w:p>
    <w:p w:rsidR="00264D90" w:rsidRDefault="00264D90" w:rsidP="00264D90">
      <w:pPr>
        <w:spacing w:line="360" w:lineRule="auto"/>
        <w:ind w:left="1417"/>
        <w:jc w:val="both"/>
        <w:rPr>
          <w:rFonts w:ascii="David" w:hAnsi="David"/>
          <w:b/>
          <w:bCs/>
          <w:noProof w:val="0"/>
          <w:color w:val="000000"/>
        </w:rPr>
      </w:pPr>
      <w:r>
        <w:rPr>
          <w:rFonts w:ascii="David" w:hAnsi="David"/>
          <w:b/>
          <w:bCs/>
          <w:noProof w:val="0"/>
          <w:color w:val="000000"/>
        </w:rPr>
        <w:t xml:space="preserve"> (3) </w:t>
      </w:r>
      <w:r>
        <w:rPr>
          <w:rFonts w:ascii="David" w:hAnsi="David"/>
          <w:b/>
          <w:bCs/>
          <w:noProof w:val="0"/>
          <w:color w:val="000000"/>
          <w:rtl/>
        </w:rPr>
        <w:t>להשפיע על זכות או חיוב שלפי הדין המבוטל</w:t>
      </w:r>
      <w:r>
        <w:rPr>
          <w:rFonts w:ascii="David" w:hAnsi="David"/>
          <w:b/>
          <w:bCs/>
          <w:noProof w:val="0"/>
          <w:color w:val="000000"/>
          <w:sz w:val="27"/>
          <w:szCs w:val="27"/>
        </w:rPr>
        <w:t>.</w:t>
      </w:r>
      <w:r>
        <w:rPr>
          <w:rFonts w:ascii="David" w:hAnsi="David"/>
          <w:b/>
          <w:bCs/>
          <w:noProof w:val="0"/>
          <w:color w:val="000000"/>
          <w:rtl/>
        </w:rPr>
        <w:t>"</w:t>
      </w:r>
    </w:p>
    <w:p w:rsidR="00264D90" w:rsidRDefault="00264D90" w:rsidP="00264D90">
      <w:pPr>
        <w:spacing w:line="360" w:lineRule="auto"/>
        <w:jc w:val="both"/>
        <w:rPr>
          <w:rFonts w:ascii="David" w:hAnsi="David"/>
          <w:noProof w:val="0"/>
          <w:u w:val="single"/>
        </w:rPr>
      </w:pPr>
    </w:p>
    <w:p w:rsidR="00264D90" w:rsidRDefault="00264D90" w:rsidP="00264D90">
      <w:pPr>
        <w:pStyle w:val="ad"/>
        <w:numPr>
          <w:ilvl w:val="0"/>
          <w:numId w:val="2"/>
        </w:numPr>
        <w:spacing w:line="360" w:lineRule="auto"/>
        <w:jc w:val="both"/>
        <w:rPr>
          <w:rFonts w:ascii="David" w:hAnsi="David"/>
          <w:noProof w:val="0"/>
          <w:rtl/>
        </w:rPr>
      </w:pPr>
      <w:r>
        <w:rPr>
          <w:rFonts w:ascii="David" w:hAnsi="David"/>
          <w:noProof w:val="0"/>
          <w:rtl/>
        </w:rPr>
        <w:t>המועד בו ייעשה חישוב החיוב במס נקבע בסעיף 17(א) לחוק מסמ"ק:</w:t>
      </w:r>
    </w:p>
    <w:p w:rsidR="00264D90" w:rsidRDefault="00264D90" w:rsidP="00264D90">
      <w:pPr>
        <w:pStyle w:val="ad"/>
        <w:spacing w:line="360" w:lineRule="auto"/>
        <w:jc w:val="both"/>
        <w:rPr>
          <w:rFonts w:ascii="David" w:hAnsi="David"/>
          <w:noProof w:val="0"/>
          <w:rtl/>
        </w:rPr>
      </w:pPr>
    </w:p>
    <w:p w:rsidR="00264D90" w:rsidRDefault="00264D90" w:rsidP="00264D90">
      <w:pPr>
        <w:pStyle w:val="ad"/>
        <w:spacing w:line="360" w:lineRule="auto"/>
        <w:ind w:left="1417"/>
        <w:jc w:val="both"/>
        <w:rPr>
          <w:rFonts w:ascii="David" w:hAnsi="David"/>
          <w:b/>
          <w:bCs/>
          <w:noProof w:val="0"/>
          <w:sz w:val="22"/>
          <w:szCs w:val="22"/>
        </w:rPr>
      </w:pPr>
      <w:r>
        <w:rPr>
          <w:rStyle w:val="default"/>
          <w:rFonts w:ascii="David" w:hAnsi="David"/>
          <w:b/>
          <w:bCs/>
          <w:color w:val="000000"/>
          <w:rtl/>
        </w:rPr>
        <w:t>"17. (א)  שווי המכירה הוא שווי ביום המכירה של הזכות במקרקעין הנמכרת כשהיא נקיה מכל שעבוד הבא להבטיח חוב, משכנתה או זכות אחרת הבאה להבטיח תשלום</w:t>
      </w:r>
      <w:r>
        <w:rPr>
          <w:rStyle w:val="default"/>
          <w:rFonts w:ascii="David" w:hAnsi="David"/>
          <w:b/>
          <w:bCs/>
          <w:color w:val="000000"/>
        </w:rPr>
        <w:t>.</w:t>
      </w:r>
      <w:r>
        <w:rPr>
          <w:rFonts w:ascii="David" w:hAnsi="David"/>
          <w:b/>
          <w:bCs/>
          <w:noProof w:val="0"/>
          <w:sz w:val="22"/>
          <w:szCs w:val="22"/>
          <w:rtl/>
        </w:rPr>
        <w:t>"</w:t>
      </w:r>
    </w:p>
    <w:p w:rsidR="00264D90" w:rsidRDefault="00264D90" w:rsidP="00264D90">
      <w:pPr>
        <w:spacing w:line="360" w:lineRule="auto"/>
        <w:jc w:val="both"/>
        <w:rPr>
          <w:rFonts w:ascii="David" w:hAnsi="David"/>
          <w:b/>
          <w:bCs/>
          <w:noProof w:val="0"/>
          <w:sz w:val="22"/>
          <w:szCs w:val="22"/>
        </w:rPr>
      </w:pPr>
    </w:p>
    <w:p w:rsidR="00264D90" w:rsidRDefault="00264D90" w:rsidP="00264D90">
      <w:pPr>
        <w:pStyle w:val="ad"/>
        <w:numPr>
          <w:ilvl w:val="0"/>
          <w:numId w:val="2"/>
        </w:numPr>
        <w:spacing w:line="360" w:lineRule="auto"/>
        <w:jc w:val="both"/>
        <w:rPr>
          <w:rFonts w:ascii="David" w:hAnsi="David"/>
          <w:noProof w:val="0"/>
          <w:rtl/>
        </w:rPr>
      </w:pPr>
      <w:r>
        <w:rPr>
          <w:rFonts w:ascii="David" w:hAnsi="David"/>
          <w:noProof w:val="0"/>
          <w:rtl/>
        </w:rPr>
        <w:t>בהמשך לכך, סעיף 19 רישא לחוק מסמ"ק קובע כי "יום המכירה" הוא:</w:t>
      </w:r>
    </w:p>
    <w:p w:rsidR="00264D90" w:rsidRDefault="00264D90" w:rsidP="00264D90">
      <w:pPr>
        <w:spacing w:line="360" w:lineRule="auto"/>
        <w:ind w:left="1417"/>
        <w:jc w:val="both"/>
        <w:rPr>
          <w:rFonts w:ascii="David" w:hAnsi="David"/>
          <w:b/>
          <w:bCs/>
          <w:noProof w:val="0"/>
        </w:rPr>
      </w:pPr>
    </w:p>
    <w:p w:rsidR="00264D90" w:rsidRDefault="00264D90" w:rsidP="00264D90">
      <w:pPr>
        <w:spacing w:line="360" w:lineRule="auto"/>
        <w:ind w:left="1417"/>
        <w:jc w:val="both"/>
        <w:rPr>
          <w:rFonts w:ascii="David" w:hAnsi="David"/>
          <w:b/>
          <w:bCs/>
          <w:noProof w:val="0"/>
          <w:rtl/>
        </w:rPr>
      </w:pPr>
      <w:r>
        <w:rPr>
          <w:rFonts w:ascii="David" w:hAnsi="David"/>
          <w:b/>
          <w:bCs/>
          <w:color w:val="000000"/>
          <w:rtl/>
        </w:rPr>
        <w:t>"19. "יום המכירה" או "יום הפעולה" לענין חישוב השבח והמס הוא היום שבו נעשתה המכירה או הפעולה באיגוד</w:t>
      </w:r>
      <w:r>
        <w:rPr>
          <w:rFonts w:ascii="David" w:hAnsi="David"/>
          <w:b/>
          <w:bCs/>
          <w:noProof w:val="0"/>
          <w:rtl/>
        </w:rPr>
        <w:t xml:space="preserve"> [...]"</w:t>
      </w:r>
    </w:p>
    <w:p w:rsidR="00264D90" w:rsidRDefault="00264D90" w:rsidP="00264D90">
      <w:pPr>
        <w:spacing w:line="360" w:lineRule="auto"/>
        <w:jc w:val="both"/>
        <w:rPr>
          <w:rFonts w:ascii="David" w:hAnsi="David"/>
          <w:color w:val="000000"/>
          <w:rtl/>
        </w:rPr>
      </w:pPr>
    </w:p>
    <w:p w:rsidR="00264D90" w:rsidRDefault="00264D90" w:rsidP="006E1B47">
      <w:pPr>
        <w:spacing w:line="360" w:lineRule="auto"/>
        <w:ind w:left="720"/>
        <w:jc w:val="both"/>
        <w:rPr>
          <w:rFonts w:ascii="David" w:hAnsi="David"/>
          <w:noProof w:val="0"/>
          <w:rtl/>
        </w:rPr>
      </w:pPr>
      <w:r>
        <w:rPr>
          <w:rFonts w:ascii="David" w:hAnsi="David"/>
          <w:color w:val="000000"/>
          <w:rtl/>
        </w:rPr>
        <w:t>יצוין כי הגם שהסעיף עוסק בקביעת יום מכירה</w:t>
      </w:r>
      <w:r>
        <w:rPr>
          <w:rFonts w:ascii="David" w:hAnsi="David"/>
          <w:noProof w:val="0"/>
          <w:rtl/>
        </w:rPr>
        <w:t xml:space="preserve"> לצרכי מס שבח, י</w:t>
      </w:r>
      <w:r w:rsidR="006E1B47">
        <w:rPr>
          <w:rFonts w:ascii="David" w:hAnsi="David"/>
          <w:noProof w:val="0"/>
          <w:rtl/>
        </w:rPr>
        <w:t>ום המכירה הינו זהה למוכר ולקונה</w:t>
      </w:r>
      <w:r w:rsidR="006E1B47">
        <w:rPr>
          <w:rFonts w:ascii="David" w:hAnsi="David" w:hint="cs"/>
          <w:noProof w:val="0"/>
          <w:rtl/>
        </w:rPr>
        <w:t>,</w:t>
      </w:r>
      <w:r>
        <w:rPr>
          <w:rFonts w:ascii="David" w:hAnsi="David"/>
          <w:noProof w:val="0"/>
          <w:rtl/>
        </w:rPr>
        <w:t xml:space="preserve"> </w:t>
      </w:r>
      <w:r w:rsidR="006E1B47">
        <w:rPr>
          <w:rFonts w:ascii="David" w:hAnsi="David" w:hint="cs"/>
          <w:noProof w:val="0"/>
          <w:rtl/>
        </w:rPr>
        <w:t>שכן</w:t>
      </w:r>
      <w:r>
        <w:rPr>
          <w:rFonts w:ascii="David" w:hAnsi="David"/>
          <w:noProof w:val="0"/>
          <w:rtl/>
        </w:rPr>
        <w:t xml:space="preserve"> סעיף 9(ה) לחוק מסמ"ק קובע כי הקביעות לעניין מס שבח יפות גם למס רכישה לכל דבר ועניין.</w:t>
      </w:r>
    </w:p>
    <w:p w:rsidR="00264D90" w:rsidRDefault="00264D90" w:rsidP="00264D90">
      <w:pPr>
        <w:spacing w:line="360" w:lineRule="auto"/>
        <w:ind w:left="720"/>
        <w:jc w:val="both"/>
        <w:rPr>
          <w:rFonts w:ascii="David" w:hAnsi="David"/>
          <w:noProof w:val="0"/>
          <w:rtl/>
        </w:rPr>
      </w:pPr>
    </w:p>
    <w:p w:rsidR="00264D90" w:rsidRDefault="00264D90" w:rsidP="00264D90">
      <w:pPr>
        <w:pStyle w:val="ad"/>
        <w:numPr>
          <w:ilvl w:val="0"/>
          <w:numId w:val="2"/>
        </w:numPr>
        <w:spacing w:line="360" w:lineRule="auto"/>
        <w:jc w:val="both"/>
        <w:rPr>
          <w:rFonts w:ascii="David" w:hAnsi="David"/>
          <w:noProof w:val="0"/>
          <w:rtl/>
        </w:rPr>
      </w:pPr>
      <w:r>
        <w:rPr>
          <w:rFonts w:ascii="David" w:hAnsi="David"/>
          <w:noProof w:val="0"/>
          <w:rtl/>
        </w:rPr>
        <w:lastRenderedPageBreak/>
        <w:t>יפים לעניין זה דבריו של פרופ' הדרי בספרו "מיסוי מקרקעין" (כרך ב'</w:t>
      </w:r>
      <w:r w:rsidR="006E1B47">
        <w:rPr>
          <w:rFonts w:ascii="David" w:hAnsi="David" w:hint="cs"/>
          <w:noProof w:val="0"/>
          <w:rtl/>
        </w:rPr>
        <w:t>,</w:t>
      </w:r>
      <w:r>
        <w:rPr>
          <w:rFonts w:ascii="David" w:hAnsi="David"/>
          <w:noProof w:val="0"/>
          <w:rtl/>
        </w:rPr>
        <w:t xml:space="preserve"> חלק ראשון</w:t>
      </w:r>
      <w:r w:rsidR="006E1B47">
        <w:rPr>
          <w:rFonts w:ascii="David" w:hAnsi="David" w:hint="cs"/>
          <w:noProof w:val="0"/>
          <w:rtl/>
        </w:rPr>
        <w:t>,</w:t>
      </w:r>
      <w:r>
        <w:rPr>
          <w:rFonts w:ascii="David" w:hAnsi="David"/>
          <w:noProof w:val="0"/>
          <w:rtl/>
        </w:rPr>
        <w:t xml:space="preserve"> 2003), בעמוד 47: </w:t>
      </w:r>
    </w:p>
    <w:p w:rsidR="00264D90" w:rsidRDefault="00264D90" w:rsidP="00264D90">
      <w:pPr>
        <w:pStyle w:val="ad"/>
        <w:spacing w:line="360" w:lineRule="auto"/>
        <w:jc w:val="both"/>
        <w:rPr>
          <w:rFonts w:ascii="David" w:hAnsi="David"/>
          <w:noProof w:val="0"/>
          <w:rtl/>
        </w:rPr>
      </w:pPr>
    </w:p>
    <w:p w:rsidR="00264D90" w:rsidRDefault="00264D90" w:rsidP="00264D90">
      <w:pPr>
        <w:pStyle w:val="ad"/>
        <w:spacing w:line="360" w:lineRule="auto"/>
        <w:ind w:left="1417"/>
        <w:jc w:val="both"/>
        <w:rPr>
          <w:rFonts w:ascii="David" w:hAnsi="David"/>
          <w:b/>
          <w:bCs/>
          <w:noProof w:val="0"/>
        </w:rPr>
      </w:pPr>
      <w:r>
        <w:rPr>
          <w:rFonts w:ascii="David" w:hAnsi="David"/>
          <w:b/>
          <w:bCs/>
          <w:noProof w:val="0"/>
          <w:rtl/>
        </w:rPr>
        <w:t>"</w:t>
      </w:r>
      <w:r>
        <w:rPr>
          <w:rFonts w:ascii="David" w:hAnsi="David"/>
          <w:b/>
          <w:bCs/>
          <w:noProof w:val="0"/>
          <w:u w:val="single"/>
          <w:rtl/>
        </w:rPr>
        <w:t>"יום המכירה" הוא המועד המכריע לעניין חישוב המס.</w:t>
      </w:r>
      <w:r>
        <w:rPr>
          <w:rFonts w:ascii="David" w:hAnsi="David"/>
          <w:b/>
          <w:bCs/>
          <w:noProof w:val="0"/>
          <w:rtl/>
        </w:rPr>
        <w:t xml:space="preserve"> כפי שיוסבר להלן, משאירע יום המכירה, חלה חובת הצהרה על העסקה לרשויות מס שבח; לאותו יום מחושב מס השבח של המוכר ומס הרכישה של הקונה; ביום ההצהרה חלה חובת התשלום של המס או שמאותו יום מוטלים ריבית והפרשי הצמדה על חוב המס. </w:t>
      </w:r>
    </w:p>
    <w:p w:rsidR="00264D90" w:rsidRDefault="00264D90" w:rsidP="00264D90">
      <w:pPr>
        <w:pStyle w:val="ad"/>
        <w:spacing w:line="360" w:lineRule="auto"/>
        <w:ind w:left="1417"/>
        <w:jc w:val="both"/>
        <w:rPr>
          <w:rFonts w:ascii="David" w:hAnsi="David"/>
          <w:b/>
          <w:bCs/>
          <w:noProof w:val="0"/>
          <w:u w:val="single"/>
          <w:rtl/>
        </w:rPr>
      </w:pPr>
      <w:r>
        <w:rPr>
          <w:rFonts w:ascii="David" w:hAnsi="David"/>
          <w:b/>
          <w:bCs/>
          <w:noProof w:val="0"/>
          <w:u w:val="single"/>
          <w:rtl/>
        </w:rPr>
        <w:t xml:space="preserve">כדברי בית המשפט העליון : 'הנקודה העקרונית והמכריעה היא, כי קביעת שיעור החבות במס צריכה להיעשות על-פי היום בו התגבש החיוב'. </w:t>
      </w:r>
    </w:p>
    <w:p w:rsidR="00264D90" w:rsidRDefault="00264D90" w:rsidP="00264D90">
      <w:pPr>
        <w:pStyle w:val="ad"/>
        <w:spacing w:line="360" w:lineRule="auto"/>
        <w:ind w:left="1417"/>
        <w:jc w:val="both"/>
        <w:rPr>
          <w:rFonts w:ascii="David" w:hAnsi="David"/>
          <w:noProof w:val="0"/>
          <w:rtl/>
        </w:rPr>
      </w:pPr>
      <w:r>
        <w:rPr>
          <w:rFonts w:ascii="David" w:hAnsi="David"/>
          <w:b/>
          <w:bCs/>
          <w:noProof w:val="0"/>
          <w:u w:val="single"/>
          <w:rtl/>
        </w:rPr>
        <w:t>היום שבו נוצר החיוב הוא היום הקובע את יום המכירה למוכר ואת יום הרכישה לקונה והוא היום הקובע את שווי המכירה למוכר ואת שווי הרכישה לקונה.</w:t>
      </w:r>
      <w:r>
        <w:rPr>
          <w:rFonts w:ascii="David" w:hAnsi="David"/>
          <w:b/>
          <w:bCs/>
          <w:noProof w:val="0"/>
          <w:rtl/>
        </w:rPr>
        <w:t xml:space="preserve">" </w:t>
      </w:r>
      <w:r>
        <w:rPr>
          <w:rFonts w:ascii="David" w:hAnsi="David"/>
          <w:noProof w:val="0"/>
          <w:rtl/>
        </w:rPr>
        <w:t>(ההדגשות אינן במקור)</w:t>
      </w:r>
    </w:p>
    <w:p w:rsidR="00264D90" w:rsidRDefault="00264D90" w:rsidP="00264D90">
      <w:pPr>
        <w:pStyle w:val="ad"/>
        <w:spacing w:line="360" w:lineRule="auto"/>
        <w:ind w:left="1417"/>
        <w:jc w:val="both"/>
        <w:rPr>
          <w:rFonts w:ascii="David" w:hAnsi="David"/>
          <w:noProof w:val="0"/>
          <w:rtl/>
        </w:rPr>
      </w:pPr>
    </w:p>
    <w:p w:rsidR="00264D90" w:rsidRDefault="00264D90" w:rsidP="00264D90">
      <w:pPr>
        <w:pStyle w:val="ad"/>
        <w:numPr>
          <w:ilvl w:val="0"/>
          <w:numId w:val="2"/>
        </w:numPr>
        <w:spacing w:line="360" w:lineRule="auto"/>
        <w:jc w:val="both"/>
        <w:rPr>
          <w:rFonts w:ascii="David" w:hAnsi="David"/>
          <w:noProof w:val="0"/>
          <w:rtl/>
        </w:rPr>
      </w:pPr>
      <w:r>
        <w:rPr>
          <w:rFonts w:ascii="David" w:hAnsi="David"/>
          <w:noProof w:val="0"/>
          <w:rtl/>
        </w:rPr>
        <w:t>באשר לסעיף 19 לחוק מסמ"ק מסביר פרופ' הדרי בעמוד 56 כך:</w:t>
      </w:r>
    </w:p>
    <w:p w:rsidR="00264D90" w:rsidRDefault="00264D90" w:rsidP="00264D90">
      <w:pPr>
        <w:spacing w:line="360" w:lineRule="auto"/>
        <w:jc w:val="both"/>
        <w:rPr>
          <w:rFonts w:ascii="David" w:hAnsi="David"/>
          <w:noProof w:val="0"/>
          <w:rtl/>
        </w:rPr>
      </w:pPr>
    </w:p>
    <w:p w:rsidR="00264D90" w:rsidRDefault="00264D90" w:rsidP="00264D90">
      <w:pPr>
        <w:spacing w:line="360" w:lineRule="auto"/>
        <w:ind w:left="1417"/>
        <w:jc w:val="both"/>
        <w:rPr>
          <w:rFonts w:ascii="David" w:hAnsi="David"/>
          <w:b/>
          <w:bCs/>
          <w:noProof w:val="0"/>
        </w:rPr>
      </w:pPr>
      <w:r>
        <w:rPr>
          <w:rFonts w:ascii="David" w:hAnsi="David"/>
          <w:b/>
          <w:bCs/>
          <w:noProof w:val="0"/>
          <w:rtl/>
        </w:rPr>
        <w:t>"סעיף 19 לחוק מיסוי מקרקעין אינו מסייע בידינו לאתר את המועד המדויק שבו נוצר החיוב ובו נעשתה המכירה. כל מה שנקבע בו הוא, שיום המכירה הוא היום "שבו נעשתה המכירה".</w:t>
      </w:r>
    </w:p>
    <w:p w:rsidR="00264D90" w:rsidRDefault="00264D90" w:rsidP="006E1B47">
      <w:pPr>
        <w:pStyle w:val="ad"/>
        <w:spacing w:line="360" w:lineRule="auto"/>
        <w:ind w:left="1417"/>
        <w:jc w:val="both"/>
        <w:rPr>
          <w:rFonts w:ascii="David" w:hAnsi="David"/>
          <w:noProof w:val="0"/>
          <w:rtl/>
        </w:rPr>
      </w:pPr>
      <w:r>
        <w:rPr>
          <w:rFonts w:ascii="David" w:hAnsi="David"/>
          <w:b/>
          <w:bCs/>
          <w:noProof w:val="0"/>
          <w:u w:val="single"/>
          <w:rtl/>
        </w:rPr>
        <w:lastRenderedPageBreak/>
        <w:t>יום המכירה הוא מועד ההסכם או היום שבו נוצר הסכם מחייב ותקף</w:t>
      </w:r>
      <w:r>
        <w:rPr>
          <w:rFonts w:ascii="David" w:hAnsi="David"/>
          <w:b/>
          <w:bCs/>
          <w:noProof w:val="0"/>
          <w:rtl/>
        </w:rPr>
        <w:t>, דהיינו: המועד ש</w:t>
      </w:r>
      <w:r w:rsidR="006E1B47">
        <w:rPr>
          <w:rFonts w:ascii="David" w:hAnsi="David" w:hint="cs"/>
          <w:b/>
          <w:bCs/>
          <w:noProof w:val="0"/>
          <w:rtl/>
        </w:rPr>
        <w:t>ב</w:t>
      </w:r>
      <w:r>
        <w:rPr>
          <w:rFonts w:ascii="David" w:hAnsi="David"/>
          <w:b/>
          <w:bCs/>
          <w:noProof w:val="0"/>
          <w:rtl/>
        </w:rPr>
        <w:t xml:space="preserve">ו השתכללו הצעה וקיבול כמשמעותם בדיני החוזים. קרי: יום המכירה הוא היום שבו נוצר הסכם מחייב ל"מכירה" של "זכות במקרקעין", כמשמעותם בסעיף 1 לחוק מיסוי מקרקעין. " </w:t>
      </w:r>
      <w:r>
        <w:rPr>
          <w:rFonts w:ascii="David" w:hAnsi="David"/>
          <w:noProof w:val="0"/>
          <w:rtl/>
        </w:rPr>
        <w:t>(ההדגשות אינן במקור)</w:t>
      </w:r>
    </w:p>
    <w:p w:rsidR="00264D90" w:rsidRDefault="00264D90" w:rsidP="00264D90">
      <w:pPr>
        <w:spacing w:line="360" w:lineRule="auto"/>
        <w:jc w:val="both"/>
        <w:rPr>
          <w:rFonts w:ascii="David" w:hAnsi="David"/>
          <w:b/>
          <w:bCs/>
          <w:noProof w:val="0"/>
          <w:rtl/>
        </w:rPr>
      </w:pPr>
    </w:p>
    <w:p w:rsidR="00264D90" w:rsidRDefault="00264D90" w:rsidP="00264D90">
      <w:pPr>
        <w:pStyle w:val="ad"/>
        <w:numPr>
          <w:ilvl w:val="0"/>
          <w:numId w:val="2"/>
        </w:numPr>
        <w:spacing w:line="360" w:lineRule="auto"/>
        <w:jc w:val="both"/>
        <w:rPr>
          <w:rFonts w:ascii="David" w:hAnsi="David"/>
          <w:noProof w:val="0"/>
          <w:rtl/>
        </w:rPr>
      </w:pPr>
      <w:r>
        <w:rPr>
          <w:rFonts w:ascii="David" w:hAnsi="David"/>
          <w:noProof w:val="0"/>
          <w:rtl/>
        </w:rPr>
        <w:t>כבר בשלב זה, עלינו לתת את הדעת על</w:t>
      </w:r>
      <w:r w:rsidR="006E1B47">
        <w:rPr>
          <w:rFonts w:ascii="David" w:hAnsi="David"/>
          <w:noProof w:val="0"/>
          <w:rtl/>
        </w:rPr>
        <w:t xml:space="preserve"> כך שהעוררים הגישו בקשה לאישור </w:t>
      </w:r>
      <w:r>
        <w:rPr>
          <w:rFonts w:ascii="David" w:hAnsi="David"/>
          <w:noProof w:val="0"/>
          <w:rtl/>
        </w:rPr>
        <w:t xml:space="preserve">תובענה כייצוגית אשר לא התקבלה. כב' השופט </w:t>
      </w:r>
      <w:r w:rsidR="006E1B47">
        <w:rPr>
          <w:rFonts w:ascii="David" w:hAnsi="David" w:hint="cs"/>
          <w:noProof w:val="0"/>
          <w:rtl/>
        </w:rPr>
        <w:t xml:space="preserve">ש' </w:t>
      </w:r>
      <w:r>
        <w:rPr>
          <w:rFonts w:ascii="David" w:hAnsi="David"/>
          <w:noProof w:val="0"/>
          <w:rtl/>
        </w:rPr>
        <w:t>בורנשטיין פסק כי לעוררים לא עומדת עילה להעמדת התובענה כייצוגית ובהמשך אף פסק באופן דומה לגופו של עניין:</w:t>
      </w:r>
    </w:p>
    <w:p w:rsidR="00264D90" w:rsidRDefault="00264D90" w:rsidP="00264D90">
      <w:pPr>
        <w:spacing w:line="360" w:lineRule="auto"/>
        <w:jc w:val="both"/>
        <w:rPr>
          <w:rFonts w:ascii="David" w:hAnsi="David"/>
          <w:b/>
          <w:bCs/>
          <w:color w:val="000000"/>
        </w:rPr>
      </w:pPr>
    </w:p>
    <w:p w:rsidR="00264D90" w:rsidRDefault="00264D90" w:rsidP="00264D90">
      <w:pPr>
        <w:spacing w:line="360" w:lineRule="auto"/>
        <w:ind w:left="1417"/>
        <w:jc w:val="both"/>
        <w:rPr>
          <w:rFonts w:ascii="David" w:hAnsi="David"/>
          <w:b/>
          <w:bCs/>
          <w:color w:val="000000"/>
          <w:u w:val="single"/>
        </w:rPr>
      </w:pPr>
      <w:r>
        <w:rPr>
          <w:rFonts w:ascii="David" w:hAnsi="David"/>
          <w:b/>
          <w:bCs/>
          <w:color w:val="000000"/>
          <w:rtl/>
        </w:rPr>
        <w:t>"</w:t>
      </w:r>
      <w:r>
        <w:rPr>
          <w:rFonts w:ascii="David" w:hAnsi="David"/>
          <w:b/>
          <w:bCs/>
          <w:color w:val="000000"/>
          <w:u w:val="single"/>
          <w:rtl/>
        </w:rPr>
        <w:t>אומר כבר עתה - אין בידי לקבל את עמדת המבקשים. סבורני כי דין הבקשה לאישור התובענה כייצוגית להידחות על הסף, ואף לגופה. הכל כפי שיפורט להלן.</w:t>
      </w:r>
    </w:p>
    <w:p w:rsidR="00264D90" w:rsidRDefault="00264D90" w:rsidP="00264D90">
      <w:pPr>
        <w:spacing w:line="360" w:lineRule="auto"/>
        <w:ind w:left="1417"/>
        <w:jc w:val="both"/>
        <w:rPr>
          <w:rFonts w:ascii="David" w:hAnsi="David"/>
          <w:b/>
          <w:bCs/>
          <w:color w:val="000000"/>
          <w:rtl/>
        </w:rPr>
      </w:pPr>
      <w:r>
        <w:rPr>
          <w:rFonts w:ascii="David" w:hAnsi="David"/>
          <w:b/>
          <w:bCs/>
          <w:color w:val="000000"/>
          <w:rtl/>
        </w:rPr>
        <w:t>[...]</w:t>
      </w:r>
    </w:p>
    <w:p w:rsidR="00264D90" w:rsidRDefault="00264D90" w:rsidP="00264D90">
      <w:pPr>
        <w:spacing w:line="360" w:lineRule="auto"/>
        <w:ind w:left="1417"/>
        <w:jc w:val="both"/>
        <w:rPr>
          <w:rFonts w:ascii="David" w:hAnsi="David"/>
          <w:color w:val="000000"/>
          <w:rtl/>
        </w:rPr>
      </w:pPr>
      <w:r>
        <w:rPr>
          <w:rFonts w:ascii="David" w:hAnsi="David"/>
          <w:b/>
          <w:bCs/>
          <w:color w:val="000000"/>
          <w:u w:val="single"/>
          <w:rtl/>
        </w:rPr>
        <w:t>עמדתי היא כי לא קיימת עילת תביעה אישית למבקשים</w:t>
      </w:r>
      <w:r>
        <w:rPr>
          <w:rFonts w:ascii="David" w:hAnsi="David"/>
          <w:b/>
          <w:bCs/>
          <w:color w:val="000000"/>
          <w:rtl/>
        </w:rPr>
        <w:t xml:space="preserve">, ואף לא אפשרות סבירה שהשאלה שהבקשה לאישור מעוררת, תוכרע בסופו של דבר לטובת הקבוצה, שכן אין מדובר במצב של גביית מס על ידי הרשות שלא כדין. ואכן, לא ניתן לומר כי גביית מס הרכישה בשיעור הקבוע בהוראת השעה נעשתה על ידי המשיבה בניגוד לדין. היפוכו של דבר הוא הנכון - </w:t>
      </w:r>
      <w:r>
        <w:rPr>
          <w:rFonts w:ascii="David" w:hAnsi="David"/>
          <w:b/>
          <w:bCs/>
          <w:color w:val="000000"/>
          <w:u w:val="single"/>
          <w:rtl/>
        </w:rPr>
        <w:t>המשיבה פעלה באופן התואם, ככתבו וכלשונו, את הדין שעמד בתוקפו באותה העת</w:t>
      </w:r>
      <w:r>
        <w:rPr>
          <w:rFonts w:ascii="David" w:hAnsi="David"/>
          <w:b/>
          <w:bCs/>
          <w:color w:val="000000"/>
          <w:rtl/>
        </w:rPr>
        <w:t xml:space="preserve">." </w:t>
      </w:r>
      <w:r>
        <w:rPr>
          <w:rFonts w:ascii="David" w:hAnsi="David"/>
          <w:color w:val="000000"/>
          <w:rtl/>
        </w:rPr>
        <w:t>(</w:t>
      </w:r>
      <w:r w:rsidR="00842215">
        <w:rPr>
          <w:rFonts w:ascii="David" w:hAnsi="David" w:hint="cs"/>
          <w:color w:val="000000"/>
          <w:rtl/>
        </w:rPr>
        <w:t xml:space="preserve">פסקאות 37 ו- 45 בהתאמה, </w:t>
      </w:r>
      <w:r>
        <w:rPr>
          <w:rFonts w:ascii="David" w:hAnsi="David"/>
          <w:color w:val="000000"/>
          <w:rtl/>
        </w:rPr>
        <w:t>ההדגשות אינן במקור</w:t>
      </w:r>
      <w:r w:rsidR="00CC72AA">
        <w:rPr>
          <w:rFonts w:ascii="David" w:hAnsi="David" w:hint="cs"/>
          <w:color w:val="000000"/>
          <w:rtl/>
        </w:rPr>
        <w:t>.</w:t>
      </w:r>
      <w:r>
        <w:rPr>
          <w:rFonts w:ascii="David" w:hAnsi="David"/>
          <w:color w:val="000000"/>
          <w:rtl/>
        </w:rPr>
        <w:t>)</w:t>
      </w:r>
    </w:p>
    <w:p w:rsidR="00264D90" w:rsidRDefault="00264D90" w:rsidP="00264D90">
      <w:pPr>
        <w:spacing w:line="360" w:lineRule="auto"/>
        <w:ind w:left="1417"/>
        <w:jc w:val="both"/>
        <w:rPr>
          <w:rFonts w:ascii="David" w:hAnsi="David"/>
          <w:b/>
          <w:bCs/>
          <w:noProof w:val="0"/>
          <w:sz w:val="22"/>
          <w:szCs w:val="22"/>
          <w:u w:val="single"/>
          <w:rtl/>
        </w:rPr>
      </w:pPr>
    </w:p>
    <w:p w:rsidR="00264D90" w:rsidRDefault="00264D90" w:rsidP="00264D90">
      <w:pPr>
        <w:pStyle w:val="ad"/>
        <w:numPr>
          <w:ilvl w:val="0"/>
          <w:numId w:val="2"/>
        </w:numPr>
        <w:spacing w:line="360" w:lineRule="auto"/>
        <w:jc w:val="both"/>
        <w:rPr>
          <w:rFonts w:ascii="David" w:hAnsi="David"/>
          <w:noProof w:val="0"/>
          <w:rtl/>
        </w:rPr>
      </w:pPr>
      <w:r>
        <w:rPr>
          <w:rFonts w:ascii="David" w:hAnsi="David"/>
          <w:noProof w:val="0"/>
          <w:rtl/>
        </w:rPr>
        <w:lastRenderedPageBreak/>
        <w:t>כמו כן, בית המשפט העליון דחה את הערעור על פסק דינו של השופט בורנשטיין בנוגע לאישור התובענה כייצוגית. כך קבע כב' השופט ע' גרוסקו</w:t>
      </w:r>
      <w:r w:rsidR="00753F24">
        <w:rPr>
          <w:rFonts w:ascii="David" w:hAnsi="David" w:hint="cs"/>
          <w:noProof w:val="0"/>
          <w:rtl/>
        </w:rPr>
        <w:t>פ</w:t>
      </w:r>
      <w:r>
        <w:rPr>
          <w:rFonts w:ascii="David" w:hAnsi="David"/>
          <w:noProof w:val="0"/>
          <w:rtl/>
        </w:rPr>
        <w:t xml:space="preserve">ף </w:t>
      </w:r>
      <w:r w:rsidR="00842215">
        <w:rPr>
          <w:rFonts w:ascii="David" w:hAnsi="David" w:hint="cs"/>
          <w:noProof w:val="0"/>
          <w:rtl/>
        </w:rPr>
        <w:t xml:space="preserve">בעע"מ 4230/24 </w:t>
      </w:r>
      <w:r>
        <w:rPr>
          <w:rFonts w:ascii="David" w:hAnsi="David"/>
          <w:noProof w:val="0"/>
          <w:rtl/>
        </w:rPr>
        <w:t>כי:</w:t>
      </w:r>
    </w:p>
    <w:p w:rsidR="00264D90" w:rsidRDefault="00264D90" w:rsidP="00264D90">
      <w:pPr>
        <w:pStyle w:val="Ruller4"/>
        <w:numPr>
          <w:ilvl w:val="0"/>
          <w:numId w:val="0"/>
        </w:numPr>
        <w:ind w:left="720"/>
        <w:rPr>
          <w:rFonts w:ascii="David" w:hAnsi="David" w:cs="David"/>
          <w:highlight w:val="yellow"/>
        </w:rPr>
      </w:pPr>
    </w:p>
    <w:p w:rsidR="00264D90" w:rsidRPr="00842215" w:rsidRDefault="00264D90" w:rsidP="00264D90">
      <w:pPr>
        <w:pStyle w:val="Ruller4"/>
        <w:numPr>
          <w:ilvl w:val="0"/>
          <w:numId w:val="0"/>
        </w:numPr>
        <w:ind w:left="1417"/>
        <w:rPr>
          <w:rFonts w:ascii="David" w:hAnsi="David" w:cs="David"/>
          <w:spacing w:val="0"/>
          <w:szCs w:val="24"/>
          <w:rtl/>
        </w:rPr>
      </w:pPr>
      <w:r>
        <w:rPr>
          <w:rFonts w:ascii="David" w:hAnsi="David" w:cs="David"/>
          <w:b/>
          <w:bCs/>
          <w:szCs w:val="24"/>
          <w:rtl/>
        </w:rPr>
        <w:t xml:space="preserve">"את הבקשה לאישור שהגישו ביקשו המערערים לעגן, על פני הדברים, </w:t>
      </w:r>
      <w:hyperlink r:id="rId11" w:history="1">
        <w:r>
          <w:rPr>
            <w:rStyle w:val="Hyperlink"/>
            <w:rFonts w:ascii="David" w:hAnsi="David" w:cs="David"/>
            <w:b/>
            <w:bCs/>
            <w:szCs w:val="24"/>
            <w:rtl/>
          </w:rPr>
          <w:t>בפרט 11 לתוספת</w:t>
        </w:r>
      </w:hyperlink>
      <w:r>
        <w:rPr>
          <w:rFonts w:ascii="David" w:hAnsi="David" w:cs="David"/>
          <w:b/>
          <w:bCs/>
          <w:szCs w:val="24"/>
          <w:rtl/>
        </w:rPr>
        <w:t xml:space="preserve"> השנייה לחוק, שעניינו: "</w:t>
      </w:r>
      <w:r>
        <w:rPr>
          <w:rFonts w:ascii="David" w:hAnsi="David" w:cs="David"/>
          <w:b/>
          <w:bCs/>
          <w:spacing w:val="0"/>
          <w:szCs w:val="24"/>
          <w:rtl/>
        </w:rPr>
        <w:t>תביעה נגד רשות להשבת סכומים שגבתה שלא כדין, כמס, אגרה או תשלום חובה אחר...</w:t>
      </w:r>
      <w:r>
        <w:rPr>
          <w:rFonts w:ascii="David" w:hAnsi="David" w:cs="David"/>
          <w:b/>
          <w:bCs/>
          <w:szCs w:val="24"/>
          <w:rtl/>
        </w:rPr>
        <w:t>". ואולם, הבקשה לאישור מופנית כלפי גביית מס רכישה, אשר גם המערערים מודים כי נעשתה על פי הוראת חוק מפורשת ותקפה. משכך, לא ניתן לומר שפעולת גבייה זו נעשתה "</w:t>
      </w:r>
      <w:r>
        <w:rPr>
          <w:rFonts w:ascii="David" w:hAnsi="David" w:cs="David"/>
          <w:b/>
          <w:bCs/>
          <w:spacing w:val="0"/>
          <w:szCs w:val="24"/>
          <w:rtl/>
        </w:rPr>
        <w:t>שלא כדין</w:t>
      </w:r>
      <w:r>
        <w:rPr>
          <w:rFonts w:ascii="David" w:hAnsi="David" w:cs="David"/>
          <w:b/>
          <w:bCs/>
          <w:szCs w:val="24"/>
          <w:rtl/>
        </w:rPr>
        <w:t>", כפי שדורש הפרט הנזכר, וכי עומדת לנישום זכות "</w:t>
      </w:r>
      <w:r>
        <w:rPr>
          <w:rFonts w:ascii="David" w:hAnsi="David" w:cs="David"/>
          <w:b/>
          <w:bCs/>
          <w:spacing w:val="0"/>
          <w:szCs w:val="24"/>
          <w:rtl/>
        </w:rPr>
        <w:t xml:space="preserve">להשבת סכומים". המערערים טוענים אומנם לכשלים שונים שנפלו בהתנהלותה של המשיבה, ובפרט של רשות המיסים, בהקשר הנדון, ובמיוחד בקשר להעדר יידוע בדבר הכוונה להעביר את הוראת השעה 2020, אך כשלים נטענים אלו מגבשים, לכל היותר (ואיננו מביעים כל עמדה בעניין זה לגופו), עילת תביעה נזיקית לפיצויים – ולא עילת תביעה להשבה כנדרש </w:t>
      </w:r>
      <w:hyperlink r:id="rId12" w:history="1">
        <w:r>
          <w:rPr>
            <w:rStyle w:val="Hyperlink"/>
            <w:rFonts w:ascii="David" w:hAnsi="David" w:cs="David"/>
            <w:b/>
            <w:bCs/>
            <w:spacing w:val="0"/>
            <w:szCs w:val="24"/>
            <w:rtl/>
          </w:rPr>
          <w:t>בפרט 11 לתוספת</w:t>
        </w:r>
      </w:hyperlink>
      <w:r>
        <w:rPr>
          <w:rFonts w:ascii="David" w:hAnsi="David" w:cs="David"/>
          <w:b/>
          <w:bCs/>
          <w:spacing w:val="0"/>
          <w:szCs w:val="24"/>
          <w:rtl/>
        </w:rPr>
        <w:t xml:space="preserve"> השנייה [...] לא בכדי, עילות התביעה העיקריות שעליהן ביססו המערערים את הבקשה לאישור הן רשלנות, הפרת חובה חקוקה ו"פגיעה בעקרון ההסתמכות והציפיה" [...]"</w:t>
      </w:r>
      <w:r w:rsidR="00EE5D30">
        <w:rPr>
          <w:rFonts w:ascii="David" w:hAnsi="David" w:cs="David" w:hint="cs"/>
          <w:b/>
          <w:bCs/>
          <w:spacing w:val="0"/>
          <w:szCs w:val="24"/>
          <w:rtl/>
        </w:rPr>
        <w:t xml:space="preserve"> </w:t>
      </w:r>
      <w:r w:rsidR="00842215" w:rsidRPr="00842215">
        <w:rPr>
          <w:rFonts w:ascii="David" w:hAnsi="David" w:cs="David" w:hint="cs"/>
          <w:spacing w:val="0"/>
          <w:szCs w:val="24"/>
          <w:rtl/>
        </w:rPr>
        <w:t>(פסקה 6 לפסק הדין</w:t>
      </w:r>
      <w:r w:rsidR="009F65DC">
        <w:rPr>
          <w:rFonts w:ascii="David" w:hAnsi="David" w:cs="David" w:hint="cs"/>
          <w:spacing w:val="0"/>
          <w:szCs w:val="24"/>
          <w:rtl/>
        </w:rPr>
        <w:t>).</w:t>
      </w:r>
    </w:p>
    <w:p w:rsidR="00264D90" w:rsidRDefault="00264D90" w:rsidP="00264D90">
      <w:pPr>
        <w:rPr>
          <w:rFonts w:ascii="David" w:hAnsi="David"/>
          <w:rtl/>
        </w:rPr>
      </w:pPr>
    </w:p>
    <w:p w:rsidR="00264D90" w:rsidRDefault="00264D90" w:rsidP="00753F24">
      <w:pPr>
        <w:pStyle w:val="10"/>
        <w:numPr>
          <w:ilvl w:val="0"/>
          <w:numId w:val="2"/>
        </w:numPr>
        <w:tabs>
          <w:tab w:val="left" w:pos="720"/>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pacing w:before="240" w:after="0" w:line="360" w:lineRule="auto"/>
        <w:jc w:val="both"/>
        <w:rPr>
          <w:rFonts w:ascii="David" w:hAnsi="David" w:cs="David"/>
        </w:rPr>
      </w:pPr>
      <w:r>
        <w:rPr>
          <w:rFonts w:ascii="David" w:hAnsi="David" w:cs="David"/>
          <w:sz w:val="24"/>
          <w:szCs w:val="24"/>
          <w:rtl/>
        </w:rPr>
        <w:t xml:space="preserve">הנה עומדת לפנינו הכרעת בית המשפט העליון ובית משפט </w:t>
      </w:r>
      <w:r w:rsidR="00753F24">
        <w:rPr>
          <w:rFonts w:ascii="David" w:hAnsi="David" w:cs="David" w:hint="cs"/>
          <w:sz w:val="24"/>
          <w:szCs w:val="24"/>
          <w:rtl/>
        </w:rPr>
        <w:t>המחוזי מרכז</w:t>
      </w:r>
      <w:r>
        <w:rPr>
          <w:rFonts w:ascii="David" w:hAnsi="David" w:cs="David"/>
          <w:sz w:val="24"/>
          <w:szCs w:val="24"/>
          <w:rtl/>
        </w:rPr>
        <w:t xml:space="preserve"> בעניינם של העוררים, לפיה גביית המס נעשתה כדין ולמעשה לא עומדת לעוררים עילה</w:t>
      </w:r>
      <w:r w:rsidR="00753F24">
        <w:rPr>
          <w:rFonts w:ascii="David" w:hAnsi="David" w:cs="David" w:hint="cs"/>
          <w:sz w:val="24"/>
          <w:szCs w:val="24"/>
          <w:rtl/>
        </w:rPr>
        <w:t xml:space="preserve"> של גבייה שלא כדין</w:t>
      </w:r>
      <w:r>
        <w:rPr>
          <w:rFonts w:ascii="David" w:hAnsi="David" w:cs="David"/>
          <w:sz w:val="24"/>
          <w:szCs w:val="24"/>
          <w:rtl/>
        </w:rPr>
        <w:t xml:space="preserve">, שכן בנסיבות העניין הרשות פעלה בהתאם למצב חוקי ברור ובהתאם למועד התחולה של </w:t>
      </w:r>
      <w:r>
        <w:rPr>
          <w:rFonts w:ascii="David" w:hAnsi="David" w:cs="David"/>
          <w:sz w:val="24"/>
          <w:szCs w:val="24"/>
          <w:rtl/>
        </w:rPr>
        <w:lastRenderedPageBreak/>
        <w:t xml:space="preserve">התיקון לחקיקה. במצב דברים זה, אף אם ייטען כי אין לראות בדחיית התובענה כייצוגית כיוצרת מעשה בית דין, לא נוכל אפוא להתעלם ממנה. </w:t>
      </w:r>
    </w:p>
    <w:p w:rsidR="00264D90" w:rsidRDefault="00264D90" w:rsidP="00264D90">
      <w:pPr>
        <w:pStyle w:val="10"/>
        <w:tabs>
          <w:tab w:val="left" w:pos="720"/>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pacing w:before="240" w:after="0" w:line="360" w:lineRule="auto"/>
        <w:jc w:val="both"/>
        <w:rPr>
          <w:rFonts w:ascii="David" w:hAnsi="David" w:cs="David"/>
        </w:rPr>
      </w:pPr>
    </w:p>
    <w:p w:rsidR="00264D90" w:rsidRDefault="00264D90" w:rsidP="00753F24">
      <w:pPr>
        <w:pStyle w:val="10"/>
        <w:numPr>
          <w:ilvl w:val="0"/>
          <w:numId w:val="2"/>
        </w:numPr>
        <w:tabs>
          <w:tab w:val="left" w:pos="720"/>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pacing w:before="240" w:after="0" w:line="360" w:lineRule="auto"/>
        <w:jc w:val="both"/>
        <w:rPr>
          <w:rFonts w:ascii="David" w:hAnsi="David" w:cs="David"/>
        </w:rPr>
      </w:pPr>
      <w:r>
        <w:rPr>
          <w:rFonts w:ascii="David" w:hAnsi="David" w:cs="David"/>
          <w:sz w:val="24"/>
          <w:szCs w:val="24"/>
          <w:rtl/>
        </w:rPr>
        <w:t>משכך ובבחינת למעלה מן הצורך, ייעשה דיון בעילת ה"גבייה שלא כדין" בידי המשיב לאור בחינת תחולת הוראת השעה בעניין העוררים. לאחר מכן אדון בעילות נוספות מהן ניסו להיבנות העוררים ובסדר הבא בהתאמה: עשיית עושר ולא במשפט, רשלנות,</w:t>
      </w:r>
      <w:r w:rsidR="00753F24" w:rsidRPr="00753F24">
        <w:rPr>
          <w:rFonts w:ascii="David" w:hAnsi="David" w:cs="David"/>
          <w:sz w:val="24"/>
          <w:szCs w:val="24"/>
          <w:rtl/>
        </w:rPr>
        <w:t xml:space="preserve"> </w:t>
      </w:r>
      <w:r w:rsidR="00753F24">
        <w:rPr>
          <w:rFonts w:ascii="David" w:hAnsi="David" w:cs="David"/>
          <w:sz w:val="24"/>
          <w:szCs w:val="24"/>
          <w:rtl/>
        </w:rPr>
        <w:t>פגיעה בעיקרון ההסתמכות</w:t>
      </w:r>
      <w:r>
        <w:rPr>
          <w:rFonts w:ascii="David" w:hAnsi="David" w:cs="David"/>
          <w:sz w:val="24"/>
          <w:szCs w:val="24"/>
          <w:rtl/>
        </w:rPr>
        <w:t xml:space="preserve"> </w:t>
      </w:r>
      <w:r w:rsidR="00753F24">
        <w:rPr>
          <w:rFonts w:ascii="David" w:hAnsi="David" w:cs="David" w:hint="cs"/>
          <w:sz w:val="24"/>
          <w:szCs w:val="24"/>
          <w:rtl/>
        </w:rPr>
        <w:t>ו</w:t>
      </w:r>
      <w:r>
        <w:rPr>
          <w:rFonts w:ascii="David" w:hAnsi="David" w:cs="David"/>
          <w:sz w:val="24"/>
          <w:szCs w:val="24"/>
          <w:rtl/>
        </w:rPr>
        <w:t>הפרת חובה חקוקה</w:t>
      </w:r>
      <w:r>
        <w:rPr>
          <w:rFonts w:ascii="David" w:hAnsi="David" w:cs="David"/>
          <w:rtl/>
        </w:rPr>
        <w:t>.</w:t>
      </w:r>
    </w:p>
    <w:p w:rsidR="00264D90" w:rsidRDefault="00264D90" w:rsidP="00264D90">
      <w:pPr>
        <w:spacing w:line="360" w:lineRule="auto"/>
        <w:jc w:val="both"/>
        <w:rPr>
          <w:rFonts w:ascii="David" w:hAnsi="David"/>
          <w:noProof w:val="0"/>
          <w:u w:val="single"/>
        </w:rPr>
      </w:pPr>
    </w:p>
    <w:p w:rsidR="00264D90" w:rsidRDefault="00264D90" w:rsidP="00264D90">
      <w:pPr>
        <w:spacing w:line="360" w:lineRule="auto"/>
        <w:jc w:val="both"/>
        <w:rPr>
          <w:rFonts w:ascii="David" w:hAnsi="David"/>
          <w:noProof w:val="0"/>
          <w:u w:val="single"/>
          <w:rtl/>
        </w:rPr>
      </w:pPr>
      <w:r>
        <w:rPr>
          <w:rFonts w:ascii="David" w:hAnsi="David"/>
          <w:noProof w:val="0"/>
          <w:u w:val="single"/>
          <w:rtl/>
        </w:rPr>
        <w:t>תחולת הוראת השעה</w:t>
      </w:r>
    </w:p>
    <w:p w:rsidR="00264D90" w:rsidRDefault="00264D90" w:rsidP="00753F24">
      <w:pPr>
        <w:pStyle w:val="ad"/>
        <w:numPr>
          <w:ilvl w:val="0"/>
          <w:numId w:val="2"/>
        </w:numPr>
        <w:spacing w:line="360" w:lineRule="auto"/>
        <w:jc w:val="both"/>
        <w:rPr>
          <w:rFonts w:ascii="David" w:hAnsi="David"/>
          <w:noProof w:val="0"/>
          <w:rtl/>
        </w:rPr>
      </w:pPr>
      <w:r>
        <w:rPr>
          <w:rFonts w:ascii="David" w:hAnsi="David"/>
          <w:noProof w:val="0"/>
          <w:rtl/>
        </w:rPr>
        <w:t>יום המכירה נקבע בהתאם להצהרות העוררים והמסמכים שהעוררים המציאו למשיב. בענייננו, אין מחלוקת כי יום המכירה היה בתאריך 20.7.20 והוא היום לפיו יש למסות את העוררים</w:t>
      </w:r>
      <w:r w:rsidR="00753F24">
        <w:rPr>
          <w:rFonts w:ascii="David" w:hAnsi="David" w:hint="cs"/>
          <w:noProof w:val="0"/>
          <w:rtl/>
        </w:rPr>
        <w:t>,</w:t>
      </w:r>
      <w:r>
        <w:rPr>
          <w:rFonts w:ascii="David" w:hAnsi="David"/>
          <w:noProof w:val="0"/>
          <w:rtl/>
        </w:rPr>
        <w:t xml:space="preserve"> אשר התקשרו בחוזה מכר לרכישת דירת מגורים נוספת. </w:t>
      </w:r>
      <w:r w:rsidR="00753F24">
        <w:rPr>
          <w:rFonts w:ascii="David" w:hAnsi="David" w:hint="cs"/>
          <w:noProof w:val="0"/>
          <w:rtl/>
        </w:rPr>
        <w:t>זאת ועוד</w:t>
      </w:r>
      <w:r w:rsidR="00176322">
        <w:rPr>
          <w:rFonts w:ascii="David" w:hAnsi="David" w:hint="cs"/>
          <w:noProof w:val="0"/>
          <w:rtl/>
        </w:rPr>
        <w:t>,</w:t>
      </w:r>
      <w:r>
        <w:rPr>
          <w:rFonts w:ascii="David" w:hAnsi="David"/>
          <w:noProof w:val="0"/>
          <w:rtl/>
        </w:rPr>
        <w:t xml:space="preserve"> ביום 28.7.20 הוגש למשיב טופס הצהרה במסגרתו הצהירו העוררים תחת הכותרת "יום ושווי המכירה" באופן מפורש כי: "</w:t>
      </w:r>
      <w:r>
        <w:rPr>
          <w:rFonts w:ascii="David" w:hAnsi="David"/>
          <w:b/>
          <w:bCs/>
          <w:noProof w:val="0"/>
          <w:rtl/>
        </w:rPr>
        <w:t>בתאריך 20.7.20 נמכרה הזכות במקרקעין שפרטיה רשומים בחלק ג של ההצהרה בתמורה כספית (ללא מע"מ) בסך 2,290,000 ₪</w:t>
      </w:r>
      <w:r>
        <w:rPr>
          <w:rFonts w:ascii="David" w:hAnsi="David"/>
          <w:noProof w:val="0"/>
          <w:rtl/>
        </w:rPr>
        <w:t>". עוד הגישו העוררים למשיב הסכם רכישה שנערך ונחתם ביום 20.7.20 לפיו נראה כי הסדרים שונים דוגמת מועד התשלום הראשון ומנגנון הצמדת המחיר נקבעו גם הם בהתאם ליום המכירה.</w:t>
      </w:r>
    </w:p>
    <w:p w:rsidR="00264D90" w:rsidRDefault="00264D90" w:rsidP="00264D90">
      <w:pPr>
        <w:pStyle w:val="ad"/>
        <w:rPr>
          <w:rFonts w:ascii="David" w:hAnsi="David"/>
          <w:noProof w:val="0"/>
          <w:rtl/>
        </w:rPr>
      </w:pPr>
    </w:p>
    <w:p w:rsidR="00264D90" w:rsidRDefault="00264D90" w:rsidP="00753F24">
      <w:pPr>
        <w:pStyle w:val="ad"/>
        <w:numPr>
          <w:ilvl w:val="0"/>
          <w:numId w:val="2"/>
        </w:numPr>
        <w:spacing w:line="360" w:lineRule="auto"/>
        <w:jc w:val="both"/>
        <w:rPr>
          <w:rFonts w:ascii="David" w:hAnsi="David"/>
          <w:noProof w:val="0"/>
        </w:rPr>
      </w:pPr>
      <w:r>
        <w:rPr>
          <w:rFonts w:ascii="David" w:hAnsi="David"/>
          <w:noProof w:val="0"/>
          <w:rtl/>
        </w:rPr>
        <w:t>כאמור לעיל, לפי סעיף 19 לחוק מסמ"ק יום המכירה שהוא יום חתימת החוזה, מהווה את המועד לחישוב השבח והמס. בהתאם לכך, נקבע בפסיקה כי שיעור החבות במס נקבע ביום בו נעשתה פעולת החיוב של מכירת הזכות במקרקעין. ראו</w:t>
      </w:r>
      <w:r w:rsidR="00753F24">
        <w:rPr>
          <w:rFonts w:ascii="David" w:hAnsi="David" w:hint="cs"/>
          <w:noProof w:val="0"/>
          <w:rtl/>
        </w:rPr>
        <w:t>,</w:t>
      </w:r>
      <w:r>
        <w:rPr>
          <w:rFonts w:ascii="David" w:hAnsi="David"/>
          <w:noProof w:val="0"/>
          <w:rtl/>
        </w:rPr>
        <w:t xml:space="preserve"> למשל</w:t>
      </w:r>
      <w:r w:rsidR="00753F24">
        <w:rPr>
          <w:rFonts w:ascii="David" w:hAnsi="David" w:hint="cs"/>
          <w:noProof w:val="0"/>
          <w:rtl/>
        </w:rPr>
        <w:t>,</w:t>
      </w:r>
      <w:r>
        <w:rPr>
          <w:rFonts w:ascii="David" w:hAnsi="David"/>
          <w:noProof w:val="0"/>
          <w:rtl/>
        </w:rPr>
        <w:t xml:space="preserve"> </w:t>
      </w:r>
      <w:r>
        <w:rPr>
          <w:rFonts w:ascii="David" w:hAnsi="David"/>
          <w:color w:val="000000"/>
          <w:rtl/>
        </w:rPr>
        <w:t>ע"א 188/82</w:t>
      </w:r>
      <w:r>
        <w:rPr>
          <w:rFonts w:ascii="David" w:hAnsi="David"/>
          <w:color w:val="000000"/>
        </w:rPr>
        <w:t xml:space="preserve"> </w:t>
      </w:r>
      <w:r>
        <w:rPr>
          <w:rFonts w:ascii="David" w:hAnsi="David"/>
          <w:b/>
          <w:bCs/>
          <w:color w:val="000000"/>
        </w:rPr>
        <w:lastRenderedPageBreak/>
        <w:t>hotel</w:t>
      </w:r>
      <w:r>
        <w:rPr>
          <w:rFonts w:ascii="David" w:hAnsi="David"/>
          <w:color w:val="000000"/>
        </w:rPr>
        <w:t xml:space="preserve"> </w:t>
      </w:r>
      <w:r>
        <w:rPr>
          <w:rFonts w:ascii="David" w:hAnsi="David"/>
          <w:b/>
          <w:bCs/>
          <w:color w:val="000000"/>
        </w:rPr>
        <w:t xml:space="preserve">corporation of israel </w:t>
      </w:r>
      <w:r>
        <w:rPr>
          <w:rFonts w:ascii="David" w:hAnsi="David"/>
          <w:b/>
          <w:bCs/>
          <w:color w:val="000000"/>
          <w:rtl/>
        </w:rPr>
        <w:t xml:space="preserve"> נ' מנהל מס שבח מקרקעין</w:t>
      </w:r>
      <w:r>
        <w:rPr>
          <w:rFonts w:ascii="David" w:hAnsi="David"/>
          <w:color w:val="000000"/>
          <w:rtl/>
        </w:rPr>
        <w:t xml:space="preserve">, לט(2) 197 </w:t>
      </w:r>
      <w:r>
        <w:rPr>
          <w:rFonts w:ascii="David" w:hAnsi="David"/>
          <w:color w:val="000000"/>
        </w:rPr>
        <w:t xml:space="preserve"> (1985)</w:t>
      </w:r>
      <w:r>
        <w:rPr>
          <w:rFonts w:ascii="David" w:hAnsi="David"/>
          <w:color w:val="000000"/>
          <w:rtl/>
        </w:rPr>
        <w:t>(להלן: "</w:t>
      </w:r>
      <w:r>
        <w:rPr>
          <w:rFonts w:ascii="David" w:hAnsi="David"/>
          <w:b/>
          <w:bCs/>
          <w:noProof w:val="0"/>
          <w:rtl/>
        </w:rPr>
        <w:t>הוטל קורפוריישן</w:t>
      </w:r>
      <w:r>
        <w:rPr>
          <w:rFonts w:ascii="David" w:hAnsi="David"/>
          <w:color w:val="000000"/>
          <w:rtl/>
        </w:rPr>
        <w:t xml:space="preserve">"), שם קבע </w:t>
      </w:r>
      <w:r>
        <w:rPr>
          <w:rFonts w:ascii="David" w:hAnsi="David"/>
          <w:noProof w:val="0"/>
          <w:rtl/>
        </w:rPr>
        <w:t>כב' השופט ד' לוין כי:</w:t>
      </w:r>
    </w:p>
    <w:p w:rsidR="00264D90" w:rsidRDefault="00264D90" w:rsidP="00264D90">
      <w:pPr>
        <w:pStyle w:val="ad"/>
        <w:spacing w:line="360" w:lineRule="auto"/>
        <w:jc w:val="both"/>
        <w:rPr>
          <w:rFonts w:ascii="David" w:hAnsi="David"/>
          <w:noProof w:val="0"/>
          <w:rtl/>
        </w:rPr>
      </w:pPr>
    </w:p>
    <w:p w:rsidR="00264D90" w:rsidRDefault="00264D90" w:rsidP="00264D90">
      <w:pPr>
        <w:pStyle w:val="ad"/>
        <w:spacing w:line="360" w:lineRule="auto"/>
        <w:ind w:left="1417"/>
        <w:jc w:val="both"/>
        <w:rPr>
          <w:rFonts w:ascii="David" w:hAnsi="David"/>
          <w:b/>
          <w:bCs/>
          <w:noProof w:val="0"/>
          <w:rtl/>
        </w:rPr>
      </w:pPr>
      <w:r>
        <w:rPr>
          <w:rFonts w:ascii="David" w:hAnsi="David"/>
          <w:b/>
          <w:bCs/>
          <w:color w:val="000000"/>
          <w:shd w:val="clear" w:color="auto" w:fill="FFFFFF"/>
        </w:rPr>
        <w:t>"</w:t>
      </w:r>
      <w:r>
        <w:rPr>
          <w:rFonts w:ascii="David" w:hAnsi="David"/>
          <w:b/>
          <w:bCs/>
          <w:color w:val="000000"/>
          <w:shd w:val="clear" w:color="auto" w:fill="FFFFFF"/>
          <w:rtl/>
        </w:rPr>
        <w:t xml:space="preserve">[...] </w:t>
      </w:r>
      <w:r>
        <w:rPr>
          <w:rFonts w:ascii="David" w:hAnsi="David"/>
          <w:b/>
          <w:bCs/>
          <w:color w:val="000000"/>
          <w:u w:val="single"/>
          <w:shd w:val="clear" w:color="auto" w:fill="FFFFFF"/>
          <w:rtl/>
        </w:rPr>
        <w:t>הנקודה העקרונית והמכריעה היא, כי קביעת שיעור החבות במס צריכה להיעשות על-פי היום בו התגבש החיוב</w:t>
      </w:r>
      <w:r>
        <w:rPr>
          <w:rFonts w:ascii="David" w:hAnsi="David"/>
          <w:b/>
          <w:bCs/>
          <w:color w:val="000000"/>
          <w:shd w:val="clear" w:color="auto" w:fill="FFFFFF"/>
          <w:rtl/>
        </w:rPr>
        <w:t xml:space="preserve">; מכאן, שכאשר החיוב מוטל בגין עסקות שנעשו </w:t>
      </w:r>
      <w:r>
        <w:rPr>
          <w:rFonts w:ascii="David" w:hAnsi="David"/>
          <w:b/>
          <w:bCs/>
          <w:shd w:val="clear" w:color="auto" w:fill="FFFFFF"/>
          <w:rtl/>
        </w:rPr>
        <w:t>במטבע חוץ, ההמרה למטבע ישראלי צריכה להיעשות ביום בו התגבש החיוב, כאמור בהוראת המס הרלוואנטית</w:t>
      </w:r>
      <w:r>
        <w:rPr>
          <w:rFonts w:ascii="David" w:hAnsi="David"/>
          <w:b/>
          <w:bCs/>
          <w:shd w:val="clear" w:color="auto" w:fill="FFFFFF"/>
        </w:rPr>
        <w:t>.</w:t>
      </w:r>
      <w:r>
        <w:rPr>
          <w:rFonts w:ascii="David" w:hAnsi="David"/>
          <w:b/>
          <w:bCs/>
          <w:noProof w:val="0"/>
          <w:rtl/>
        </w:rPr>
        <w:t>"</w:t>
      </w:r>
      <w:r>
        <w:rPr>
          <w:rFonts w:ascii="David" w:hAnsi="David"/>
          <w:noProof w:val="0"/>
          <w:rtl/>
        </w:rPr>
        <w:t xml:space="preserve"> (עמוד 214, ההדגשות אינן במקור)</w:t>
      </w:r>
    </w:p>
    <w:p w:rsidR="00264D90" w:rsidRDefault="00264D90" w:rsidP="00264D90">
      <w:pPr>
        <w:pStyle w:val="ad"/>
        <w:spacing w:line="360" w:lineRule="auto"/>
        <w:jc w:val="both"/>
        <w:rPr>
          <w:rFonts w:ascii="David" w:hAnsi="David"/>
          <w:noProof w:val="0"/>
          <w:rtl/>
        </w:rPr>
      </w:pPr>
    </w:p>
    <w:p w:rsidR="00264D90" w:rsidRDefault="00264D90" w:rsidP="00264D90">
      <w:pPr>
        <w:pStyle w:val="ad"/>
        <w:spacing w:line="360" w:lineRule="auto"/>
        <w:jc w:val="both"/>
        <w:rPr>
          <w:rFonts w:ascii="David" w:hAnsi="David"/>
          <w:noProof w:val="0"/>
          <w:rtl/>
        </w:rPr>
      </w:pPr>
      <w:r>
        <w:rPr>
          <w:rFonts w:ascii="David" w:hAnsi="David"/>
          <w:noProof w:val="0"/>
          <w:rtl/>
        </w:rPr>
        <w:t xml:space="preserve">וגם עמ"ש 91/95 </w:t>
      </w:r>
      <w:r>
        <w:rPr>
          <w:rFonts w:ascii="David" w:hAnsi="David"/>
          <w:b/>
          <w:bCs/>
          <w:noProof w:val="0"/>
          <w:rtl/>
        </w:rPr>
        <w:t>עדי שילוני נ' מנהל מס שבח</w:t>
      </w:r>
      <w:r w:rsidR="00753F24">
        <w:rPr>
          <w:rFonts w:ascii="David" w:hAnsi="David" w:hint="cs"/>
          <w:b/>
          <w:bCs/>
          <w:noProof w:val="0"/>
          <w:rtl/>
        </w:rPr>
        <w:t>,</w:t>
      </w:r>
      <w:r>
        <w:rPr>
          <w:rFonts w:ascii="David" w:hAnsi="David"/>
          <w:b/>
          <w:bCs/>
          <w:noProof w:val="0"/>
          <w:rtl/>
        </w:rPr>
        <w:t xml:space="preserve"> </w:t>
      </w:r>
      <w:r w:rsidRPr="00753F24">
        <w:rPr>
          <w:rFonts w:ascii="David" w:hAnsi="David"/>
          <w:noProof w:val="0"/>
          <w:rtl/>
        </w:rPr>
        <w:t>מיסים</w:t>
      </w:r>
      <w:r>
        <w:rPr>
          <w:rFonts w:ascii="David" w:hAnsi="David"/>
          <w:noProof w:val="0"/>
          <w:rtl/>
        </w:rPr>
        <w:t xml:space="preserve"> י/5</w:t>
      </w:r>
      <w:r w:rsidR="00753F24">
        <w:rPr>
          <w:rFonts w:ascii="David" w:hAnsi="David"/>
          <w:noProof w:val="0"/>
          <w:rtl/>
        </w:rPr>
        <w:t xml:space="preserve"> 342 (1996), שם קבע כב' השופט א</w:t>
      </w:r>
      <w:r w:rsidR="00753F24">
        <w:rPr>
          <w:rFonts w:ascii="David" w:hAnsi="David" w:hint="cs"/>
          <w:noProof w:val="0"/>
          <w:rtl/>
        </w:rPr>
        <w:t>'</w:t>
      </w:r>
      <w:r>
        <w:rPr>
          <w:rFonts w:ascii="David" w:hAnsi="David"/>
          <w:noProof w:val="0"/>
          <w:rtl/>
        </w:rPr>
        <w:t xml:space="preserve"> גרוניס בהסתמך על פרשת </w:t>
      </w:r>
      <w:r>
        <w:rPr>
          <w:rFonts w:ascii="David" w:hAnsi="David"/>
          <w:b/>
          <w:bCs/>
          <w:noProof w:val="0"/>
          <w:rtl/>
        </w:rPr>
        <w:t>הוטל קורפוריישן</w:t>
      </w:r>
      <w:r>
        <w:rPr>
          <w:rFonts w:ascii="David" w:hAnsi="David"/>
          <w:noProof w:val="0"/>
          <w:rtl/>
        </w:rPr>
        <w:t xml:space="preserve"> כדלקמן:</w:t>
      </w:r>
    </w:p>
    <w:p w:rsidR="00264D90" w:rsidRDefault="00264D90" w:rsidP="00264D90">
      <w:pPr>
        <w:pStyle w:val="ad"/>
        <w:spacing w:line="360" w:lineRule="auto"/>
        <w:jc w:val="both"/>
        <w:rPr>
          <w:rFonts w:ascii="David" w:hAnsi="David"/>
          <w:noProof w:val="0"/>
          <w:rtl/>
        </w:rPr>
      </w:pPr>
    </w:p>
    <w:p w:rsidR="00264D90" w:rsidRDefault="00264D90" w:rsidP="00264D90">
      <w:pPr>
        <w:pStyle w:val="ad"/>
        <w:spacing w:line="360" w:lineRule="auto"/>
        <w:ind w:left="1417"/>
        <w:jc w:val="both"/>
        <w:rPr>
          <w:rFonts w:ascii="David" w:hAnsi="David"/>
          <w:b/>
          <w:bCs/>
          <w:noProof w:val="0"/>
          <w:rtl/>
        </w:rPr>
      </w:pPr>
      <w:r>
        <w:rPr>
          <w:rFonts w:ascii="David" w:hAnsi="David"/>
          <w:b/>
          <w:bCs/>
          <w:noProof w:val="0"/>
          <w:rtl/>
        </w:rPr>
        <w:t xml:space="preserve">"כידוע חישוב מס השבח נעשה ל"יום המכירה" אשר "הוא היום שבו נעשתה המכירה": סעיף 19 לחוק. </w:t>
      </w:r>
      <w:r>
        <w:rPr>
          <w:rFonts w:ascii="David" w:hAnsi="David"/>
          <w:b/>
          <w:bCs/>
          <w:noProof w:val="0"/>
          <w:u w:val="single"/>
          <w:rtl/>
        </w:rPr>
        <w:t>המועד האמור הוא היום בו נעשה החוזה בין המוכר לקונה</w:t>
      </w:r>
      <w:r>
        <w:rPr>
          <w:rFonts w:ascii="David" w:hAnsi="David"/>
          <w:b/>
          <w:bCs/>
          <w:noProof w:val="0"/>
          <w:rtl/>
        </w:rPr>
        <w:t>. [...] מאחר והתמורה ננקבה בחוזה בדולרים, יש להמירה לשקלים בהתאם לשער היציג ביום המכירה (</w:t>
      </w:r>
      <w:r>
        <w:rPr>
          <w:rFonts w:ascii="David" w:hAnsi="David"/>
          <w:b/>
          <w:bCs/>
          <w:color w:val="000000"/>
          <w:rtl/>
        </w:rPr>
        <w:t>ע"א 188/82</w:t>
      </w:r>
      <w:r>
        <w:rPr>
          <w:rFonts w:ascii="David" w:hAnsi="David"/>
          <w:b/>
          <w:bCs/>
          <w:color w:val="000000"/>
        </w:rPr>
        <w:t xml:space="preserve"> hotel corporation of israel </w:t>
      </w:r>
      <w:r>
        <w:rPr>
          <w:rFonts w:ascii="David" w:hAnsi="David"/>
          <w:b/>
          <w:bCs/>
          <w:color w:val="000000"/>
          <w:rtl/>
        </w:rPr>
        <w:t xml:space="preserve"> נ' מנהל מס שבח מקרקעין, פ"ד לט(2) 197)"</w:t>
      </w:r>
      <w:r>
        <w:rPr>
          <w:rFonts w:ascii="David" w:hAnsi="David"/>
          <w:color w:val="000000"/>
          <w:rtl/>
        </w:rPr>
        <w:t xml:space="preserve">. </w:t>
      </w:r>
      <w:r>
        <w:rPr>
          <w:rFonts w:ascii="David" w:hAnsi="David"/>
          <w:noProof w:val="0"/>
          <w:rtl/>
        </w:rPr>
        <w:t>(עמוד 45, ההדגשות אינן במקור)</w:t>
      </w:r>
    </w:p>
    <w:p w:rsidR="00264D90" w:rsidRDefault="00264D90" w:rsidP="00264D90">
      <w:pPr>
        <w:spacing w:line="360" w:lineRule="auto"/>
        <w:jc w:val="both"/>
        <w:rPr>
          <w:rFonts w:ascii="David" w:hAnsi="David"/>
          <w:noProof w:val="0"/>
          <w:rtl/>
        </w:rPr>
      </w:pPr>
    </w:p>
    <w:p w:rsidR="00264D90" w:rsidRDefault="00264D90" w:rsidP="00753F24">
      <w:pPr>
        <w:pStyle w:val="ad"/>
        <w:numPr>
          <w:ilvl w:val="0"/>
          <w:numId w:val="2"/>
        </w:numPr>
        <w:spacing w:line="360" w:lineRule="auto"/>
        <w:jc w:val="both"/>
        <w:rPr>
          <w:rFonts w:ascii="David" w:hAnsi="David"/>
          <w:noProof w:val="0"/>
          <w:rtl/>
        </w:rPr>
      </w:pPr>
      <w:r>
        <w:rPr>
          <w:rFonts w:ascii="David" w:hAnsi="David"/>
          <w:noProof w:val="0"/>
          <w:rtl/>
        </w:rPr>
        <w:lastRenderedPageBreak/>
        <w:t xml:space="preserve">משכך, לא ניתן לקבל את טענת העוררים לפיה מועד חתימת החוזה הינו "סוגיה טכנית". כל שכן, אין בסיס לטענתם כי אין לראות במועד החתימה על החוזה כיום שבו יש לחשב את מס </w:t>
      </w:r>
      <w:r w:rsidR="00753F24">
        <w:rPr>
          <w:rFonts w:ascii="David" w:hAnsi="David" w:hint="cs"/>
          <w:noProof w:val="0"/>
          <w:rtl/>
        </w:rPr>
        <w:t>הרכישה</w:t>
      </w:r>
      <w:r>
        <w:rPr>
          <w:rFonts w:ascii="David" w:hAnsi="David"/>
          <w:noProof w:val="0"/>
          <w:rtl/>
        </w:rPr>
        <w:t>. הדירה שרכשו העוררים אינה דירתם היחידה ומשכך, מדרגות המס שחלו על רכישת הדירה היו מדרגות המס בסעיף 9(ג1ה) לחוק מסמ"ק, אשר היו בתוקף ביום 20.7.20,</w:t>
      </w:r>
      <w:r w:rsidR="00753F24">
        <w:rPr>
          <w:rFonts w:ascii="David" w:hAnsi="David"/>
          <w:noProof w:val="0"/>
          <w:rtl/>
        </w:rPr>
        <w:t xml:space="preserve"> הוא יום הרכישה. בהתאם למדרגות </w:t>
      </w:r>
      <w:r>
        <w:rPr>
          <w:rFonts w:ascii="David" w:hAnsi="David"/>
          <w:noProof w:val="0"/>
          <w:rtl/>
        </w:rPr>
        <w:t xml:space="preserve">אלו, על העוררים לשלם מס רכישה בגובה 8% על חלק השווי שעד 4,800,605 ₪. באופן הזה דיווחו העוררים עצמם למשיב כי המס שעליהם לשלם הוא 183,200 ₪, המהווה 8% </w:t>
      </w:r>
      <w:r w:rsidR="00753F24">
        <w:rPr>
          <w:rFonts w:ascii="David" w:hAnsi="David" w:hint="cs"/>
          <w:noProof w:val="0"/>
          <w:rtl/>
        </w:rPr>
        <w:t>מתמורת</w:t>
      </w:r>
      <w:r>
        <w:rPr>
          <w:rFonts w:ascii="David" w:hAnsi="David"/>
          <w:noProof w:val="0"/>
          <w:rtl/>
        </w:rPr>
        <w:t xml:space="preserve"> הדירה, 2,290,000 ₪.  </w:t>
      </w:r>
    </w:p>
    <w:p w:rsidR="00264D90" w:rsidRDefault="00264D90" w:rsidP="00264D90">
      <w:pPr>
        <w:pStyle w:val="ad"/>
        <w:spacing w:line="360" w:lineRule="auto"/>
        <w:jc w:val="both"/>
        <w:rPr>
          <w:rFonts w:ascii="David" w:hAnsi="David"/>
          <w:noProof w:val="0"/>
        </w:rPr>
      </w:pPr>
    </w:p>
    <w:p w:rsidR="00264D90" w:rsidRDefault="00264D90" w:rsidP="00753F24">
      <w:pPr>
        <w:pStyle w:val="ad"/>
        <w:numPr>
          <w:ilvl w:val="0"/>
          <w:numId w:val="2"/>
        </w:numPr>
        <w:spacing w:line="360" w:lineRule="auto"/>
        <w:jc w:val="both"/>
        <w:rPr>
          <w:rFonts w:ascii="David" w:hAnsi="David"/>
          <w:noProof w:val="0"/>
        </w:rPr>
      </w:pPr>
      <w:r>
        <w:rPr>
          <w:rFonts w:ascii="David" w:hAnsi="David"/>
          <w:noProof w:val="0"/>
          <w:rtl/>
        </w:rPr>
        <w:t xml:space="preserve">אמנם לאחר חתימת החוזה ולאחר שהוגשה ההצהרה למשיב, נחקק ופורסם, תיקון מספר 95 לחוק מסמ"ק, אשר ביטל את מדרגות המס שנקבעו בסעיף 9(ג1ה). ברם, העוררים לא יכולים להיבנות משינוי זה מאחר ונקודת המוצא היא כי השינוי בחוק חל מעת </w:t>
      </w:r>
      <w:r w:rsidR="00753F24">
        <w:rPr>
          <w:rFonts w:ascii="David" w:hAnsi="David" w:hint="cs"/>
          <w:noProof w:val="0"/>
          <w:rtl/>
        </w:rPr>
        <w:t>כניסת</w:t>
      </w:r>
      <w:r>
        <w:rPr>
          <w:rFonts w:ascii="David" w:hAnsi="David"/>
          <w:noProof w:val="0"/>
          <w:rtl/>
        </w:rPr>
        <w:t xml:space="preserve"> השינוי </w:t>
      </w:r>
      <w:r w:rsidR="00753F24">
        <w:rPr>
          <w:rFonts w:ascii="David" w:hAnsi="David" w:hint="cs"/>
          <w:noProof w:val="0"/>
          <w:rtl/>
        </w:rPr>
        <w:t xml:space="preserve">לתוקף </w:t>
      </w:r>
      <w:r>
        <w:rPr>
          <w:rFonts w:ascii="David" w:hAnsi="David"/>
          <w:noProof w:val="0"/>
          <w:rtl/>
        </w:rPr>
        <w:t>ואילך. המחוקק הביע דעתו כי בעת ביטולו של דבר חקיקה, הבטלות תהא צופת פני עתיד (פרוספקטיבית) והדבר עולה הן מסעיף התחולה שנקבע בתיקון שנעשה לחוק מסמ"ק, והן מהאמור בסעיף 22 לחוק הפרשנות</w:t>
      </w:r>
      <w:r w:rsidR="00676A9C">
        <w:rPr>
          <w:rFonts w:ascii="David" w:hAnsi="David" w:hint="cs"/>
          <w:noProof w:val="0"/>
          <w:rtl/>
        </w:rPr>
        <w:t>,</w:t>
      </w:r>
      <w:r>
        <w:rPr>
          <w:rFonts w:ascii="David" w:hAnsi="David"/>
          <w:noProof w:val="0"/>
          <w:rtl/>
        </w:rPr>
        <w:t xml:space="preserve"> כמובא לעיל.</w:t>
      </w:r>
    </w:p>
    <w:p w:rsidR="00264D90" w:rsidRDefault="00264D90" w:rsidP="00264D90">
      <w:pPr>
        <w:spacing w:line="360" w:lineRule="auto"/>
        <w:jc w:val="both"/>
        <w:rPr>
          <w:rFonts w:ascii="David" w:hAnsi="David"/>
          <w:noProof w:val="0"/>
        </w:rPr>
      </w:pPr>
    </w:p>
    <w:p w:rsidR="00264D90" w:rsidRDefault="00676A9C" w:rsidP="00676A9C">
      <w:pPr>
        <w:pStyle w:val="ad"/>
        <w:numPr>
          <w:ilvl w:val="0"/>
          <w:numId w:val="2"/>
        </w:numPr>
        <w:spacing w:line="360" w:lineRule="auto"/>
        <w:jc w:val="both"/>
        <w:rPr>
          <w:rFonts w:ascii="David" w:hAnsi="David"/>
          <w:noProof w:val="0"/>
        </w:rPr>
      </w:pPr>
      <w:r>
        <w:rPr>
          <w:rFonts w:ascii="David" w:hAnsi="David"/>
          <w:noProof w:val="0"/>
          <w:rtl/>
        </w:rPr>
        <w:t>ביטול</w:t>
      </w:r>
      <w:r>
        <w:rPr>
          <w:rFonts w:ascii="David" w:hAnsi="David" w:hint="cs"/>
          <w:noProof w:val="0"/>
          <w:rtl/>
        </w:rPr>
        <w:t>ה</w:t>
      </w:r>
      <w:r w:rsidR="00264D90">
        <w:rPr>
          <w:rFonts w:ascii="David" w:hAnsi="David"/>
          <w:noProof w:val="0"/>
          <w:rtl/>
        </w:rPr>
        <w:t xml:space="preserve"> של ה</w:t>
      </w:r>
      <w:r>
        <w:rPr>
          <w:rFonts w:ascii="David" w:hAnsi="David" w:hint="cs"/>
          <w:noProof w:val="0"/>
          <w:rtl/>
        </w:rPr>
        <w:t xml:space="preserve">וראת השעה </w:t>
      </w:r>
      <w:r w:rsidR="00264D90">
        <w:rPr>
          <w:rFonts w:ascii="David" w:hAnsi="David"/>
          <w:noProof w:val="0"/>
          <w:rtl/>
        </w:rPr>
        <w:t xml:space="preserve">נעשה באופן צופה פני עתיד, כך </w:t>
      </w:r>
      <w:r>
        <w:rPr>
          <w:rFonts w:ascii="David" w:hAnsi="David" w:hint="cs"/>
          <w:noProof w:val="0"/>
          <w:rtl/>
        </w:rPr>
        <w:t>שהוראת השעה עומדת</w:t>
      </w:r>
      <w:r>
        <w:rPr>
          <w:rFonts w:ascii="David" w:hAnsi="David"/>
          <w:noProof w:val="0"/>
          <w:rtl/>
        </w:rPr>
        <w:t xml:space="preserve"> בתוקפ</w:t>
      </w:r>
      <w:r>
        <w:rPr>
          <w:rFonts w:ascii="David" w:hAnsi="David" w:hint="cs"/>
          <w:noProof w:val="0"/>
          <w:rtl/>
        </w:rPr>
        <w:t>ה</w:t>
      </w:r>
      <w:r w:rsidR="00264D90">
        <w:rPr>
          <w:rFonts w:ascii="David" w:hAnsi="David"/>
          <w:noProof w:val="0"/>
          <w:rtl/>
        </w:rPr>
        <w:t xml:space="preserve"> ביחס למי שביצע </w:t>
      </w:r>
      <w:r>
        <w:rPr>
          <w:rFonts w:ascii="David" w:hAnsi="David" w:hint="cs"/>
          <w:noProof w:val="0"/>
          <w:rtl/>
        </w:rPr>
        <w:t>עסקה במקרקעין</w:t>
      </w:r>
      <w:r w:rsidR="00264D90">
        <w:rPr>
          <w:rFonts w:ascii="David" w:hAnsi="David"/>
          <w:noProof w:val="0"/>
          <w:rtl/>
        </w:rPr>
        <w:t xml:space="preserve"> טרם התיקון. ביום 20.7.20 </w:t>
      </w:r>
      <w:r w:rsidR="00264D90">
        <w:rPr>
          <w:rFonts w:ascii="David" w:hAnsi="David"/>
          <w:color w:val="000000"/>
          <w:rtl/>
        </w:rPr>
        <w:t>גביית המס נעשתה מכוח הוראת חוק מפורשת וברורה</w:t>
      </w:r>
      <w:r w:rsidR="00264D90">
        <w:rPr>
          <w:rFonts w:ascii="David" w:hAnsi="David"/>
          <w:noProof w:val="0"/>
          <w:rtl/>
        </w:rPr>
        <w:t xml:space="preserve"> ותיקון מספר 95 לחוק מסמ"ק מהווה שינוי חיצוני ומאוחר ליום המכירה אשר אין בכוחו להשפיע על החיוב במס. לכך, ראו דבריו של כב' השופט </w:t>
      </w:r>
      <w:r>
        <w:rPr>
          <w:rFonts w:ascii="David" w:hAnsi="David" w:hint="cs"/>
          <w:noProof w:val="0"/>
          <w:rtl/>
        </w:rPr>
        <w:t xml:space="preserve">א' </w:t>
      </w:r>
      <w:r w:rsidR="00264D90">
        <w:rPr>
          <w:rFonts w:ascii="David" w:hAnsi="David"/>
          <w:noProof w:val="0"/>
          <w:rtl/>
        </w:rPr>
        <w:t>רובינשטיין בע"א</w:t>
      </w:r>
      <w:r w:rsidR="00264D90">
        <w:rPr>
          <w:rFonts w:ascii="David" w:hAnsi="David"/>
          <w:color w:val="000000"/>
          <w:rtl/>
        </w:rPr>
        <w:t xml:space="preserve"> 7759/07 </w:t>
      </w:r>
      <w:r w:rsidR="00264D90">
        <w:rPr>
          <w:rFonts w:ascii="David" w:hAnsi="David"/>
          <w:b/>
          <w:bCs/>
          <w:color w:val="000000"/>
          <w:rtl/>
        </w:rPr>
        <w:t>רות כספי נ' מנהל מס שבח מקרקעין נתניה</w:t>
      </w:r>
      <w:r w:rsidR="00264D90">
        <w:rPr>
          <w:rFonts w:ascii="David" w:hAnsi="David"/>
          <w:color w:val="000000"/>
          <w:rtl/>
        </w:rPr>
        <w:t xml:space="preserve"> (12.4.2010)</w:t>
      </w:r>
      <w:r w:rsidR="00264D90">
        <w:rPr>
          <w:rFonts w:ascii="David" w:hAnsi="David"/>
          <w:noProof w:val="0"/>
          <w:rtl/>
        </w:rPr>
        <w:t xml:space="preserve">: </w:t>
      </w:r>
    </w:p>
    <w:p w:rsidR="00264D90" w:rsidRDefault="00264D90" w:rsidP="00264D90">
      <w:pPr>
        <w:spacing w:line="360" w:lineRule="auto"/>
        <w:jc w:val="both"/>
        <w:rPr>
          <w:rFonts w:ascii="David" w:hAnsi="David"/>
          <w:noProof w:val="0"/>
          <w:rtl/>
        </w:rPr>
      </w:pPr>
    </w:p>
    <w:p w:rsidR="00264D90" w:rsidRDefault="00264D90" w:rsidP="00264D90">
      <w:pPr>
        <w:pStyle w:val="a00"/>
        <w:shd w:val="clear" w:color="auto" w:fill="FFFFFF"/>
        <w:bidi/>
        <w:spacing w:before="0" w:beforeAutospacing="0" w:after="0" w:afterAutospacing="0" w:line="360" w:lineRule="auto"/>
        <w:ind w:left="1417"/>
        <w:jc w:val="both"/>
        <w:rPr>
          <w:rFonts w:ascii="David" w:hAnsi="David" w:cs="David"/>
          <w:b/>
          <w:bCs/>
          <w:color w:val="000000"/>
          <w:spacing w:val="10"/>
        </w:rPr>
      </w:pPr>
      <w:r>
        <w:rPr>
          <w:rFonts w:ascii="David" w:hAnsi="David" w:cs="David"/>
          <w:b/>
          <w:bCs/>
          <w:color w:val="000000"/>
          <w:spacing w:val="10"/>
          <w:shd w:val="clear" w:color="auto" w:fill="FFFFFF"/>
          <w:rtl/>
        </w:rPr>
        <w:lastRenderedPageBreak/>
        <w:t>"טז. נוכח האמור, </w:t>
      </w:r>
      <w:r>
        <w:rPr>
          <w:rFonts w:ascii="David" w:hAnsi="David" w:cs="David"/>
          <w:b/>
          <w:bCs/>
          <w:color w:val="000000"/>
          <w:spacing w:val="10"/>
          <w:u w:val="single"/>
          <w:rtl/>
        </w:rPr>
        <w:t>יש לראות בשווי המכירה לצרכי מס שבח את השווי ביום ההסכם, ואין התפתחויות מאוחרות וחיצוניות להסכם יכולות לשנות שווי זה</w:t>
      </w:r>
      <w:r>
        <w:rPr>
          <w:rFonts w:ascii="David" w:hAnsi="David" w:cs="David"/>
          <w:b/>
          <w:bCs/>
          <w:color w:val="000000"/>
          <w:spacing w:val="10"/>
          <w:rtl/>
        </w:rPr>
        <w:t>. בעת חתימת ההסכם התגבש החיוב, שכן המוכר (המערערים בענייננו) קיבל תמורה חוזית בשווי המוסכם של הנמכר [...]</w:t>
      </w:r>
    </w:p>
    <w:p w:rsidR="00264D90" w:rsidRDefault="00264D90" w:rsidP="00264D90">
      <w:pPr>
        <w:pStyle w:val="a00"/>
        <w:shd w:val="clear" w:color="auto" w:fill="FFFFFF"/>
        <w:bidi/>
        <w:spacing w:before="0" w:beforeAutospacing="0" w:after="0" w:afterAutospacing="0" w:line="360" w:lineRule="auto"/>
        <w:ind w:left="1417"/>
        <w:jc w:val="both"/>
        <w:rPr>
          <w:rFonts w:ascii="David" w:hAnsi="David" w:cs="David"/>
          <w:b/>
          <w:bCs/>
          <w:color w:val="000000"/>
          <w:spacing w:val="10"/>
        </w:rPr>
      </w:pPr>
    </w:p>
    <w:p w:rsidR="00264D90" w:rsidRDefault="00264D90" w:rsidP="00264D90">
      <w:pPr>
        <w:pStyle w:val="a00"/>
        <w:shd w:val="clear" w:color="auto" w:fill="FFFFFF"/>
        <w:bidi/>
        <w:spacing w:before="0" w:beforeAutospacing="0" w:after="0" w:afterAutospacing="0" w:line="360" w:lineRule="auto"/>
        <w:ind w:left="1417"/>
        <w:jc w:val="both"/>
        <w:rPr>
          <w:rFonts w:ascii="David" w:hAnsi="David" w:cs="David"/>
          <w:b/>
          <w:bCs/>
          <w:rtl/>
        </w:rPr>
      </w:pPr>
      <w:r>
        <w:rPr>
          <w:rFonts w:ascii="David" w:hAnsi="David" w:cs="David"/>
          <w:b/>
          <w:bCs/>
          <w:color w:val="000000"/>
          <w:spacing w:val="10"/>
          <w:rtl/>
        </w:rPr>
        <w:t>כלומר, ההסכם בין הצדדים משקף את השווי </w:t>
      </w:r>
      <w:r>
        <w:rPr>
          <w:rFonts w:ascii="David" w:hAnsi="David" w:cs="David"/>
          <w:b/>
          <w:bCs/>
          <w:color w:val="000000"/>
          <w:rtl/>
        </w:rPr>
        <w:t>האמיתי</w:t>
      </w:r>
      <w:r>
        <w:rPr>
          <w:rFonts w:ascii="David" w:hAnsi="David" w:cs="David"/>
          <w:b/>
          <w:bCs/>
          <w:color w:val="000000"/>
          <w:spacing w:val="10"/>
          <w:rtl/>
        </w:rPr>
        <w:t> – מבחינתם – של העסקה ביום ביצועה, ושווי זה הוא שממוסה. אין להלום כי התפתחויות מאוחרות ובלתי צפויות בביצוע הסכם הבניה יביאו לפתיחת השומה מח</w:t>
      </w:r>
      <w:r>
        <w:rPr>
          <w:rFonts w:ascii="David" w:hAnsi="David" w:cs="David"/>
          <w:b/>
          <w:bCs/>
          <w:spacing w:val="10"/>
          <w:rtl/>
        </w:rPr>
        <w:t>דש על פי </w:t>
      </w:r>
      <w:hyperlink r:id="rId13" w:tgtFrame="blank" w:history="1">
        <w:r>
          <w:rPr>
            <w:rStyle w:val="Hyperlink"/>
            <w:rFonts w:ascii="David" w:hAnsi="David" w:cs="David"/>
            <w:b/>
            <w:bCs/>
            <w:spacing w:val="10"/>
            <w:rtl/>
          </w:rPr>
          <w:t>סעיף 85</w:t>
        </w:r>
      </w:hyperlink>
      <w:r>
        <w:rPr>
          <w:rFonts w:ascii="David" w:hAnsi="David" w:cs="David"/>
          <w:b/>
          <w:bCs/>
          <w:spacing w:val="10"/>
          <w:rtl/>
        </w:rPr>
        <w:t> באשר להסכם שנחתם ומוסה זה מכבר [...]</w:t>
      </w:r>
    </w:p>
    <w:p w:rsidR="00264D90" w:rsidRDefault="00264D90" w:rsidP="00264D90">
      <w:pPr>
        <w:pStyle w:val="a00"/>
        <w:shd w:val="clear" w:color="auto" w:fill="FFFFFF"/>
        <w:bidi/>
        <w:spacing w:before="0" w:beforeAutospacing="0" w:after="0" w:afterAutospacing="0" w:line="360" w:lineRule="auto"/>
        <w:ind w:left="1417"/>
        <w:jc w:val="both"/>
        <w:rPr>
          <w:rFonts w:ascii="David" w:hAnsi="David" w:cs="David"/>
          <w:color w:val="000000"/>
          <w:u w:val="single"/>
          <w:rtl/>
        </w:rPr>
      </w:pPr>
      <w:r>
        <w:rPr>
          <w:rFonts w:ascii="David" w:hAnsi="David" w:cs="David"/>
          <w:b/>
          <w:bCs/>
          <w:color w:val="000000"/>
          <w:spacing w:val="10"/>
          <w:rtl/>
        </w:rPr>
        <w:t xml:space="preserve">יז.  כאמור, </w:t>
      </w:r>
      <w:r>
        <w:rPr>
          <w:rFonts w:ascii="David" w:hAnsi="David" w:cs="David"/>
          <w:b/>
          <w:bCs/>
          <w:color w:val="000000"/>
          <w:spacing w:val="10"/>
          <w:u w:val="single"/>
          <w:rtl/>
        </w:rPr>
        <w:t>ההתפתחויות המאוחרות להסכם, בענייננו, אינן משנות את שווי המכירה שיש למסות</w:t>
      </w:r>
      <w:r>
        <w:rPr>
          <w:rFonts w:ascii="David" w:hAnsi="David" w:cs="David"/>
          <w:b/>
          <w:bCs/>
          <w:color w:val="000000"/>
          <w:spacing w:val="10"/>
          <w:rtl/>
        </w:rPr>
        <w:t>.</w:t>
      </w:r>
      <w:r>
        <w:rPr>
          <w:rFonts w:ascii="David" w:hAnsi="David" w:cs="David"/>
          <w:color w:val="000000"/>
          <w:spacing w:val="10"/>
          <w:rtl/>
        </w:rPr>
        <w:t xml:space="preserve">" </w:t>
      </w:r>
      <w:r>
        <w:rPr>
          <w:rFonts w:ascii="David" w:hAnsi="David" w:cs="David"/>
          <w:spacing w:val="10"/>
          <w:rtl/>
        </w:rPr>
        <w:t>(ההדגשות אינן במקור)</w:t>
      </w:r>
    </w:p>
    <w:p w:rsidR="00264D90" w:rsidRDefault="00264D90" w:rsidP="00264D90">
      <w:pPr>
        <w:pStyle w:val="a00"/>
        <w:shd w:val="clear" w:color="auto" w:fill="FFFFFF"/>
        <w:bidi/>
        <w:spacing w:before="0" w:beforeAutospacing="0" w:after="0" w:afterAutospacing="0" w:line="360" w:lineRule="auto"/>
        <w:jc w:val="both"/>
        <w:rPr>
          <w:rFonts w:ascii="David" w:hAnsi="David" w:cs="David"/>
          <w:color w:val="000000"/>
          <w:u w:val="single"/>
          <w:rtl/>
        </w:rPr>
      </w:pPr>
    </w:p>
    <w:p w:rsidR="00264D90" w:rsidRDefault="00264D90" w:rsidP="00676A9C">
      <w:pPr>
        <w:pStyle w:val="ad"/>
        <w:numPr>
          <w:ilvl w:val="0"/>
          <w:numId w:val="2"/>
        </w:numPr>
        <w:spacing w:line="360" w:lineRule="auto"/>
        <w:jc w:val="both"/>
        <w:rPr>
          <w:rFonts w:ascii="David" w:hAnsi="David"/>
          <w:noProof w:val="0"/>
        </w:rPr>
      </w:pPr>
      <w:r>
        <w:rPr>
          <w:rFonts w:ascii="David" w:hAnsi="David"/>
          <w:b/>
          <w:bCs/>
          <w:noProof w:val="0"/>
          <w:rtl/>
        </w:rPr>
        <w:t xml:space="preserve">לאור האמור, מצאתי כי יש לדחות את טענת העוררים אשר מבקשים למעשה החלה רטרואקטיבית של תיקון החוק על אף שרכשו את דירתם, חתמו על חוזה רכישה, הצהירו על חבות במס רכישה, לפני </w:t>
      </w:r>
      <w:r w:rsidR="00176322">
        <w:rPr>
          <w:rFonts w:ascii="David" w:hAnsi="David" w:hint="cs"/>
          <w:b/>
          <w:bCs/>
          <w:noProof w:val="0"/>
          <w:rtl/>
        </w:rPr>
        <w:t xml:space="preserve">שפגה </w:t>
      </w:r>
      <w:r w:rsidR="00676A9C">
        <w:rPr>
          <w:rFonts w:ascii="David" w:hAnsi="David" w:hint="cs"/>
          <w:b/>
          <w:bCs/>
          <w:noProof w:val="0"/>
          <w:rtl/>
        </w:rPr>
        <w:t>הוראת השעה</w:t>
      </w:r>
      <w:r>
        <w:rPr>
          <w:rFonts w:ascii="David" w:hAnsi="David"/>
          <w:b/>
          <w:bCs/>
          <w:noProof w:val="0"/>
          <w:rtl/>
        </w:rPr>
        <w:t>.</w:t>
      </w:r>
      <w:r>
        <w:rPr>
          <w:rFonts w:ascii="David" w:hAnsi="David"/>
          <w:noProof w:val="0"/>
          <w:rtl/>
        </w:rPr>
        <w:t xml:space="preserve"> שיעור המס נקבע לפי המצב הנורמטיבי התקף עת ביצוע העסקה ושיעור מס הרכישה הנמוך שנקבע בעקבות התיקון </w:t>
      </w:r>
      <w:r w:rsidR="00676A9C">
        <w:rPr>
          <w:rFonts w:ascii="David" w:hAnsi="David" w:hint="cs"/>
          <w:noProof w:val="0"/>
          <w:rtl/>
        </w:rPr>
        <w:t>לחוק</w:t>
      </w:r>
      <w:r>
        <w:rPr>
          <w:rFonts w:ascii="David" w:hAnsi="David"/>
          <w:noProof w:val="0"/>
          <w:rtl/>
        </w:rPr>
        <w:t xml:space="preserve"> חל רק על רכישת דירות לאחר תחילתו של התיקון</w:t>
      </w:r>
      <w:r w:rsidR="00676A9C">
        <w:rPr>
          <w:rFonts w:ascii="David" w:hAnsi="David" w:hint="cs"/>
          <w:noProof w:val="0"/>
          <w:rtl/>
        </w:rPr>
        <w:t>.</w:t>
      </w:r>
      <w:r>
        <w:rPr>
          <w:rFonts w:ascii="David" w:hAnsi="David"/>
          <w:noProof w:val="0"/>
          <w:rtl/>
        </w:rPr>
        <w:t xml:space="preserve"> באופן הזה לא עולה שאלה של "גבייה שלא כדין" וברי כי אין בסיס בדין להחיל את ביטול סעיף 9(גה1) למפרע. </w:t>
      </w:r>
    </w:p>
    <w:p w:rsidR="00264D90" w:rsidRDefault="00264D90" w:rsidP="00264D90">
      <w:pPr>
        <w:pStyle w:val="a00"/>
        <w:shd w:val="clear" w:color="auto" w:fill="FFFFFF"/>
        <w:bidi/>
        <w:spacing w:before="0" w:beforeAutospacing="0" w:after="0" w:afterAutospacing="0" w:line="360" w:lineRule="auto"/>
        <w:jc w:val="both"/>
        <w:rPr>
          <w:rFonts w:ascii="David" w:hAnsi="David" w:cs="David"/>
          <w:color w:val="000000"/>
          <w:u w:val="single"/>
          <w:rtl/>
        </w:rPr>
      </w:pPr>
    </w:p>
    <w:p w:rsidR="00264D90" w:rsidRDefault="00264D90" w:rsidP="00264D90">
      <w:pPr>
        <w:pStyle w:val="a00"/>
        <w:shd w:val="clear" w:color="auto" w:fill="FFFFFF"/>
        <w:bidi/>
        <w:spacing w:before="0" w:beforeAutospacing="0" w:after="0" w:afterAutospacing="0" w:line="360" w:lineRule="auto"/>
        <w:jc w:val="both"/>
        <w:rPr>
          <w:rFonts w:ascii="David" w:hAnsi="David" w:cs="David"/>
          <w:color w:val="000000"/>
          <w:u w:val="single"/>
          <w:rtl/>
        </w:rPr>
      </w:pPr>
      <w:r>
        <w:rPr>
          <w:rFonts w:ascii="David" w:hAnsi="David" w:cs="David"/>
          <w:color w:val="000000"/>
          <w:u w:val="single"/>
          <w:rtl/>
        </w:rPr>
        <w:t>עשיית עושר ולא במשפט</w:t>
      </w:r>
    </w:p>
    <w:p w:rsidR="00264D90" w:rsidRDefault="00264D90" w:rsidP="00264D90">
      <w:pPr>
        <w:pStyle w:val="ad"/>
        <w:numPr>
          <w:ilvl w:val="0"/>
          <w:numId w:val="2"/>
        </w:numPr>
        <w:spacing w:line="360" w:lineRule="auto"/>
        <w:jc w:val="both"/>
        <w:rPr>
          <w:rFonts w:ascii="David" w:hAnsi="David"/>
          <w:noProof w:val="0"/>
          <w:rtl/>
        </w:rPr>
      </w:pPr>
      <w:r>
        <w:rPr>
          <w:rFonts w:ascii="David" w:hAnsi="David"/>
          <w:noProof w:val="0"/>
          <w:rtl/>
        </w:rPr>
        <w:lastRenderedPageBreak/>
        <w:t>העוררים טענו כי שילמו מס שאינו מס אמת ממנו עשתה המדינה "עושר ולא במשפט" על חשבונם. סעיף 1(א) לחוק עשיית עושר ולא במשפט</w:t>
      </w:r>
      <w:r w:rsidR="00676A9C">
        <w:rPr>
          <w:rFonts w:ascii="David" w:hAnsi="David" w:hint="cs"/>
          <w:noProof w:val="0"/>
          <w:rtl/>
        </w:rPr>
        <w:t>,</w:t>
      </w:r>
      <w:r>
        <w:rPr>
          <w:rFonts w:ascii="David" w:hAnsi="David"/>
          <w:noProof w:val="0"/>
          <w:rtl/>
        </w:rPr>
        <w:t xml:space="preserve"> התשל"ט- 1979 (להלן: "</w:t>
      </w:r>
      <w:r w:rsidRPr="00EE5D30">
        <w:rPr>
          <w:rFonts w:ascii="David" w:hAnsi="David"/>
          <w:b/>
          <w:bCs/>
          <w:noProof w:val="0"/>
          <w:rtl/>
        </w:rPr>
        <w:t>חוק עשיית עושר</w:t>
      </w:r>
      <w:r>
        <w:rPr>
          <w:rFonts w:ascii="David" w:hAnsi="David"/>
          <w:noProof w:val="0"/>
          <w:rtl/>
        </w:rPr>
        <w:t>") קובע כדלקמן:</w:t>
      </w:r>
    </w:p>
    <w:p w:rsidR="00264D90" w:rsidRDefault="00264D90" w:rsidP="00264D90">
      <w:pPr>
        <w:pStyle w:val="ad"/>
        <w:spacing w:line="360" w:lineRule="auto"/>
        <w:jc w:val="both"/>
        <w:rPr>
          <w:rFonts w:ascii="David" w:hAnsi="David"/>
          <w:noProof w:val="0"/>
        </w:rPr>
      </w:pPr>
    </w:p>
    <w:p w:rsidR="00264D90" w:rsidRDefault="00264D90" w:rsidP="00264D90">
      <w:pPr>
        <w:pStyle w:val="ad"/>
        <w:spacing w:line="360" w:lineRule="auto"/>
        <w:ind w:left="1417"/>
        <w:jc w:val="both"/>
        <w:rPr>
          <w:rFonts w:ascii="David" w:hAnsi="David"/>
          <w:b/>
          <w:bCs/>
          <w:noProof w:val="0"/>
          <w:color w:val="000000"/>
        </w:rPr>
      </w:pPr>
      <w:r>
        <w:rPr>
          <w:rFonts w:ascii="David" w:hAnsi="David"/>
          <w:b/>
          <w:bCs/>
          <w:noProof w:val="0"/>
          <w:rtl/>
        </w:rPr>
        <w:t xml:space="preserve">"1. (א) </w:t>
      </w:r>
      <w:r>
        <w:rPr>
          <w:rFonts w:ascii="David" w:hAnsi="David"/>
          <w:b/>
          <w:bCs/>
          <w:noProof w:val="0"/>
          <w:color w:val="000000"/>
          <w:u w:val="single"/>
          <w:rtl/>
        </w:rPr>
        <w:t>מי שקיבל שלא על פי זכות שבדין נכס</w:t>
      </w:r>
      <w:r>
        <w:rPr>
          <w:rFonts w:ascii="David" w:hAnsi="David"/>
          <w:b/>
          <w:bCs/>
          <w:noProof w:val="0"/>
          <w:color w:val="000000"/>
          <w:rtl/>
        </w:rPr>
        <w:t>, שירות או טובת הנאה אחרת (להלן – הזוכה) שבאו לו מאדם אחר (להלן - המזכה), חייב להשיב למזכה את הזכיה, ואם השבה בעין בלתי אפשרית או בלתי סבירה - לשלם לו את שוויה</w:t>
      </w:r>
      <w:r>
        <w:rPr>
          <w:rFonts w:ascii="David" w:hAnsi="David"/>
          <w:b/>
          <w:bCs/>
          <w:noProof w:val="0"/>
          <w:color w:val="000000"/>
        </w:rPr>
        <w:t>.</w:t>
      </w:r>
    </w:p>
    <w:p w:rsidR="00264D90" w:rsidRDefault="00264D90" w:rsidP="00264D90">
      <w:pPr>
        <w:pStyle w:val="ad"/>
        <w:spacing w:line="360" w:lineRule="auto"/>
        <w:ind w:left="1417"/>
        <w:jc w:val="both"/>
        <w:rPr>
          <w:rFonts w:ascii="David" w:hAnsi="David"/>
          <w:noProof w:val="0"/>
          <w:rtl/>
        </w:rPr>
      </w:pPr>
      <w:r>
        <w:rPr>
          <w:rFonts w:ascii="David" w:hAnsi="David"/>
          <w:b/>
          <w:bCs/>
          <w:noProof w:val="0"/>
          <w:color w:val="000000"/>
          <w:rtl/>
        </w:rPr>
        <w:t>(ב) אחת היא אם באה הזכיה מפעולת הזוכה, מפעולת המזכה או בדרך אחרת."</w:t>
      </w:r>
      <w:r>
        <w:rPr>
          <w:rFonts w:ascii="David" w:hAnsi="David"/>
          <w:b/>
          <w:bCs/>
          <w:noProof w:val="0"/>
          <w:rtl/>
        </w:rPr>
        <w:t xml:space="preserve"> </w:t>
      </w:r>
      <w:r>
        <w:rPr>
          <w:rFonts w:ascii="David" w:hAnsi="David"/>
          <w:noProof w:val="0"/>
          <w:rtl/>
        </w:rPr>
        <w:t>(ההדגשות אינן במקור)</w:t>
      </w:r>
    </w:p>
    <w:p w:rsidR="006B77F0" w:rsidRDefault="006B77F0" w:rsidP="00264D90">
      <w:pPr>
        <w:pStyle w:val="ad"/>
        <w:spacing w:line="360" w:lineRule="auto"/>
        <w:ind w:left="1417"/>
        <w:jc w:val="both"/>
        <w:rPr>
          <w:rFonts w:ascii="David" w:hAnsi="David"/>
          <w:noProof w:val="0"/>
          <w:rtl/>
        </w:rPr>
      </w:pPr>
    </w:p>
    <w:p w:rsidR="00264D90" w:rsidRPr="006B77F0" w:rsidRDefault="006B77F0" w:rsidP="004E37C8">
      <w:pPr>
        <w:pStyle w:val="ad"/>
        <w:numPr>
          <w:ilvl w:val="0"/>
          <w:numId w:val="2"/>
        </w:numPr>
        <w:spacing w:line="360" w:lineRule="auto"/>
        <w:jc w:val="both"/>
        <w:rPr>
          <w:rFonts w:ascii="David" w:hAnsi="David"/>
          <w:noProof w:val="0"/>
          <w:rtl/>
        </w:rPr>
      </w:pPr>
      <w:r>
        <w:rPr>
          <w:rFonts w:ascii="David" w:hAnsi="David"/>
          <w:noProof w:val="0"/>
          <w:rtl/>
        </w:rPr>
        <w:t xml:space="preserve">לפי חוק עשיית עושר חובת ההשבה </w:t>
      </w:r>
      <w:r w:rsidR="004E37C8">
        <w:rPr>
          <w:rFonts w:ascii="David" w:hAnsi="David" w:hint="cs"/>
          <w:noProof w:val="0"/>
          <w:rtl/>
        </w:rPr>
        <w:t>מצד</w:t>
      </w:r>
      <w:r>
        <w:rPr>
          <w:rFonts w:ascii="David" w:hAnsi="David" w:hint="cs"/>
          <w:noProof w:val="0"/>
          <w:rtl/>
        </w:rPr>
        <w:t xml:space="preserve"> המדינה </w:t>
      </w:r>
      <w:r>
        <w:rPr>
          <w:rFonts w:ascii="David" w:hAnsi="David"/>
          <w:noProof w:val="0"/>
          <w:rtl/>
        </w:rPr>
        <w:t xml:space="preserve">מתגבשת מקום </w:t>
      </w:r>
      <w:r>
        <w:rPr>
          <w:rFonts w:ascii="David" w:hAnsi="David" w:hint="cs"/>
          <w:noProof w:val="0"/>
          <w:rtl/>
        </w:rPr>
        <w:t>שנגבו</w:t>
      </w:r>
      <w:r>
        <w:rPr>
          <w:rFonts w:ascii="David" w:hAnsi="David"/>
          <w:noProof w:val="0"/>
          <w:rtl/>
        </w:rPr>
        <w:t xml:space="preserve"> תשלומי חובה שלא כדין. כמובא לעיל, העסקה שביצעו העוררים התבצעה בטרם תוקן החוק ובמועד בו חלו מדרגות המס שנקבעו בסעיף 9(ג1ה) לחוק מסמ"ק. לפיכך, מס הרכישה שנדרשו העוררים לשלם חושב בהתאם ליום המכירה- 20.7.20 קרי תאריך החתימה על חוזה הרכישה. לפיכך,</w:t>
      </w:r>
      <w:r>
        <w:rPr>
          <w:rFonts w:ascii="David" w:hAnsi="David"/>
          <w:rtl/>
        </w:rPr>
        <w:t xml:space="preserve"> גביית המס על ידי המשיב נעשתה כדין ומתוקף חוק</w:t>
      </w:r>
      <w:r>
        <w:rPr>
          <w:rFonts w:ascii="David" w:hAnsi="David"/>
          <w:noProof w:val="0"/>
          <w:rtl/>
        </w:rPr>
        <w:t xml:space="preserve"> </w:t>
      </w:r>
      <w:r>
        <w:rPr>
          <w:rFonts w:ascii="David" w:hAnsi="David"/>
          <w:rtl/>
        </w:rPr>
        <w:t>ו</w:t>
      </w:r>
      <w:r>
        <w:rPr>
          <w:rFonts w:ascii="David" w:hAnsi="David"/>
          <w:noProof w:val="0"/>
          <w:rtl/>
        </w:rPr>
        <w:t>כשם שלא נמצא כל בסיס להחיל באופן רטרואקטיבי על העסקה את מדרגות המס שהוחלו לאחר תיקון החוק, כך וודאי לא קמה לעוררים עילת תביעה מכוח עשיית עושר שלא במשפט.</w:t>
      </w:r>
    </w:p>
    <w:p w:rsidR="00C8031F" w:rsidRDefault="00C8031F" w:rsidP="00264D90">
      <w:pPr>
        <w:rPr>
          <w:rFonts w:ascii="David" w:hAnsi="David"/>
          <w:noProof w:val="0"/>
          <w:u w:val="single"/>
          <w:rtl/>
        </w:rPr>
      </w:pPr>
    </w:p>
    <w:p w:rsidR="00264D90" w:rsidRDefault="00264D90" w:rsidP="00264D90">
      <w:pPr>
        <w:rPr>
          <w:rFonts w:ascii="David" w:hAnsi="David"/>
          <w:noProof w:val="0"/>
          <w:u w:val="single"/>
          <w:rtl/>
        </w:rPr>
      </w:pPr>
      <w:r>
        <w:rPr>
          <w:rFonts w:ascii="David" w:hAnsi="David"/>
          <w:noProof w:val="0"/>
          <w:u w:val="single"/>
          <w:rtl/>
        </w:rPr>
        <w:t>רשלנות</w:t>
      </w:r>
    </w:p>
    <w:p w:rsidR="00264D90" w:rsidRDefault="00264D90" w:rsidP="00264D90">
      <w:pPr>
        <w:pStyle w:val="ad"/>
        <w:numPr>
          <w:ilvl w:val="0"/>
          <w:numId w:val="2"/>
        </w:numPr>
        <w:spacing w:line="360" w:lineRule="auto"/>
        <w:jc w:val="both"/>
        <w:rPr>
          <w:rFonts w:ascii="David" w:hAnsi="David"/>
          <w:noProof w:val="0"/>
        </w:rPr>
      </w:pPr>
      <w:r>
        <w:rPr>
          <w:rFonts w:ascii="David" w:hAnsi="David"/>
          <w:noProof w:val="0"/>
          <w:rtl/>
        </w:rPr>
        <w:t>העוררים טענו כי מתקיימים רכיבי עוולת הרשלנות מצד הרשות במסגרת הליך ביטול הוראת השעה והיעדר השקיפות הציבורית. לגישתם, היה על רשות המיסים (הכפופה למשרד האוצר) לפרסם באופן פומבי</w:t>
      </w:r>
      <w:r w:rsidR="00676A9C">
        <w:rPr>
          <w:rFonts w:ascii="David" w:hAnsi="David" w:hint="cs"/>
          <w:noProof w:val="0"/>
          <w:rtl/>
        </w:rPr>
        <w:t xml:space="preserve"> את הכוונה לתיקון החקיקה</w:t>
      </w:r>
      <w:r>
        <w:rPr>
          <w:rFonts w:ascii="David" w:hAnsi="David"/>
          <w:noProof w:val="0"/>
          <w:rtl/>
        </w:rPr>
        <w:t xml:space="preserve"> מיד לאחר שקיצור הוראת השעה עלה על הפרק, על מנת לאפשר לאזרח להיערך לשינוי ולכלכל את צעדיו.</w:t>
      </w:r>
    </w:p>
    <w:p w:rsidR="00264D90" w:rsidRDefault="00264D90" w:rsidP="00264D90">
      <w:pPr>
        <w:spacing w:line="360" w:lineRule="auto"/>
        <w:jc w:val="both"/>
        <w:rPr>
          <w:rFonts w:ascii="David" w:hAnsi="David"/>
          <w:noProof w:val="0"/>
          <w:sz w:val="22"/>
          <w:szCs w:val="22"/>
        </w:rPr>
      </w:pPr>
    </w:p>
    <w:p w:rsidR="00264D90" w:rsidRPr="00486EA0" w:rsidRDefault="00264D90" w:rsidP="004E37C8">
      <w:pPr>
        <w:pStyle w:val="ad"/>
        <w:numPr>
          <w:ilvl w:val="0"/>
          <w:numId w:val="2"/>
        </w:numPr>
        <w:spacing w:line="360" w:lineRule="auto"/>
        <w:jc w:val="both"/>
        <w:rPr>
          <w:rFonts w:ascii="David" w:hAnsi="David"/>
          <w:noProof w:val="0"/>
          <w:rtl/>
        </w:rPr>
      </w:pPr>
      <w:r>
        <w:rPr>
          <w:rFonts w:ascii="David" w:hAnsi="David"/>
          <w:rtl/>
        </w:rPr>
        <w:t xml:space="preserve">כאמור, טענת </w:t>
      </w:r>
      <w:r w:rsidR="00C8031F">
        <w:rPr>
          <w:rFonts w:ascii="David" w:hAnsi="David"/>
          <w:rtl/>
        </w:rPr>
        <w:t>העוררים המרכזית היא בדבר ניהול</w:t>
      </w:r>
      <w:r w:rsidR="00C8031F">
        <w:rPr>
          <w:rFonts w:ascii="David" w:hAnsi="David" w:hint="cs"/>
          <w:rtl/>
        </w:rPr>
        <w:t xml:space="preserve"> </w:t>
      </w:r>
      <w:r>
        <w:rPr>
          <w:rFonts w:ascii="David" w:hAnsi="David"/>
          <w:rtl/>
        </w:rPr>
        <w:t xml:space="preserve">הליך חקיקה "סודי" על ידי הרשות. </w:t>
      </w:r>
      <w:r>
        <w:rPr>
          <w:rFonts w:ascii="David" w:hAnsi="David"/>
          <w:noProof w:val="0"/>
          <w:rtl/>
        </w:rPr>
        <w:t>בכדי לבחון טענה זו, עלינו לשוב ול</w:t>
      </w:r>
      <w:r>
        <w:rPr>
          <w:rFonts w:ascii="David" w:hAnsi="David"/>
          <w:rtl/>
        </w:rPr>
        <w:t>עמוד על האירועים לפי סדר התרחשו</w:t>
      </w:r>
      <w:r>
        <w:rPr>
          <w:rFonts w:ascii="David" w:hAnsi="David"/>
          <w:noProof w:val="0"/>
          <w:rtl/>
        </w:rPr>
        <w:t>תם:</w:t>
      </w:r>
      <w:r w:rsidR="00C8031F">
        <w:rPr>
          <w:rFonts w:ascii="David" w:hAnsi="David" w:hint="cs"/>
          <w:noProof w:val="0"/>
          <w:rtl/>
        </w:rPr>
        <w:t xml:space="preserve"> </w:t>
      </w:r>
      <w:r>
        <w:rPr>
          <w:rFonts w:ascii="David" w:hAnsi="David"/>
          <w:rtl/>
        </w:rPr>
        <w:t>ביום 28.7.2020, במסגרת דיון בוועדת הכספים ב</w:t>
      </w:r>
      <w:r w:rsidR="004E37C8">
        <w:rPr>
          <w:rFonts w:ascii="David" w:hAnsi="David" w:hint="cs"/>
          <w:rtl/>
        </w:rPr>
        <w:t>שלבי</w:t>
      </w:r>
      <w:r>
        <w:rPr>
          <w:rFonts w:ascii="David" w:hAnsi="David"/>
          <w:rtl/>
        </w:rPr>
        <w:t xml:space="preserve"> ההכנה לקריאה שנייה ושלישית של הצעת החוק, ניתן ביטוי פומבי על ידי הרשות לקידום הליך החקיקה.</w:t>
      </w:r>
      <w:r w:rsidR="00486EA0" w:rsidRPr="00486EA0">
        <w:rPr>
          <w:rFonts w:ascii="David" w:hAnsi="David" w:hint="cs"/>
          <w:noProof w:val="0"/>
          <w:rtl/>
        </w:rPr>
        <w:t xml:space="preserve"> </w:t>
      </w:r>
      <w:r w:rsidR="00486EA0">
        <w:rPr>
          <w:rFonts w:ascii="David" w:hAnsi="David" w:hint="cs"/>
          <w:noProof w:val="0"/>
          <w:rtl/>
        </w:rPr>
        <w:t>יוטעם</w:t>
      </w:r>
      <w:r w:rsidR="00486EA0" w:rsidRPr="00486EA0">
        <w:rPr>
          <w:rFonts w:ascii="David" w:hAnsi="David" w:hint="cs"/>
          <w:noProof w:val="0"/>
          <w:rtl/>
        </w:rPr>
        <w:t>, כי דיוני וועדת הכספים של הכנסת נועדו לתת במה למתנגדי החקיקה המוצעת ולאפשר לוועדה להשפיע על ההסדר החקיקתי</w:t>
      </w:r>
      <w:r w:rsidR="00486EA0">
        <w:rPr>
          <w:rFonts w:ascii="David" w:hAnsi="David" w:hint="cs"/>
          <w:noProof w:val="0"/>
          <w:rtl/>
        </w:rPr>
        <w:t>.</w:t>
      </w:r>
      <w:r w:rsidR="00486EA0">
        <w:rPr>
          <w:rFonts w:ascii="David" w:hAnsi="David" w:hint="cs"/>
          <w:rtl/>
        </w:rPr>
        <w:t xml:space="preserve"> </w:t>
      </w:r>
      <w:r w:rsidRPr="00486EA0">
        <w:rPr>
          <w:rFonts w:ascii="David" w:hAnsi="David"/>
          <w:rtl/>
        </w:rPr>
        <w:t xml:space="preserve">תיקון החוק אושר בכנסת ביום 29.7.2020 </w:t>
      </w:r>
      <w:r w:rsidR="00486EA0" w:rsidRPr="00486EA0">
        <w:rPr>
          <w:rFonts w:ascii="David" w:hAnsi="David" w:hint="cs"/>
          <w:rtl/>
        </w:rPr>
        <w:t>ו</w:t>
      </w:r>
      <w:r w:rsidRPr="00486EA0">
        <w:rPr>
          <w:rFonts w:ascii="David" w:hAnsi="David"/>
          <w:rtl/>
        </w:rPr>
        <w:t xml:space="preserve">שיעור המס המקל הוחל משלב זה ואילך. </w:t>
      </w:r>
      <w:r w:rsidRPr="00486EA0">
        <w:rPr>
          <w:rFonts w:ascii="David" w:hAnsi="David"/>
          <w:noProof w:val="0"/>
          <w:rtl/>
        </w:rPr>
        <w:t xml:space="preserve">לפי העוררים מידע רשמי פורסם לראשונה ביום 29.7.20, אף שהצעת החוק עלתה על שולחן הממשלה ביום 15.7.20. כך טענו העוררים, כי מאחר ולא גילתה הרשות בפומבי </w:t>
      </w:r>
      <w:r w:rsidR="003427E5" w:rsidRPr="00486EA0">
        <w:rPr>
          <w:rFonts w:ascii="David" w:hAnsi="David" w:hint="cs"/>
          <w:noProof w:val="0"/>
          <w:rtl/>
        </w:rPr>
        <w:t xml:space="preserve">באמצעות אגף הדוברות </w:t>
      </w:r>
      <w:r w:rsidRPr="00486EA0">
        <w:rPr>
          <w:rFonts w:ascii="David" w:hAnsi="David"/>
          <w:noProof w:val="0"/>
          <w:rtl/>
        </w:rPr>
        <w:t xml:space="preserve">את כוונתה לקצר את הוראת השעה, "לא מלאה הרשות את חלקה ולא פעלה בהתאם למצופה ממנה" כלפי האזרח. </w:t>
      </w:r>
    </w:p>
    <w:p w:rsidR="00264D90" w:rsidRDefault="00264D90" w:rsidP="006B77F0">
      <w:pPr>
        <w:pStyle w:val="10"/>
        <w:spacing w:line="360" w:lineRule="auto"/>
        <w:jc w:val="both"/>
        <w:rPr>
          <w:rFonts w:ascii="David" w:hAnsi="David" w:cs="David"/>
          <w:sz w:val="24"/>
          <w:szCs w:val="24"/>
          <w:rtl/>
        </w:rPr>
      </w:pPr>
    </w:p>
    <w:p w:rsidR="00264D90" w:rsidRPr="002D0B5F" w:rsidRDefault="00264D90" w:rsidP="00C8031F">
      <w:pPr>
        <w:pStyle w:val="ad"/>
        <w:numPr>
          <w:ilvl w:val="0"/>
          <w:numId w:val="2"/>
        </w:numPr>
        <w:spacing w:line="360" w:lineRule="auto"/>
        <w:jc w:val="both"/>
        <w:rPr>
          <w:rFonts w:ascii="David" w:hAnsi="David"/>
          <w:noProof w:val="0"/>
        </w:rPr>
      </w:pPr>
      <w:r>
        <w:rPr>
          <w:rFonts w:ascii="David" w:hAnsi="David"/>
          <w:noProof w:val="0"/>
          <w:rtl/>
        </w:rPr>
        <w:t>לשם המשך הדיון</w:t>
      </w:r>
      <w:r w:rsidRPr="002D0B5F">
        <w:rPr>
          <w:rFonts w:ascii="David" w:hAnsi="David"/>
          <w:noProof w:val="0"/>
          <w:rtl/>
        </w:rPr>
        <w:t xml:space="preserve">, יובאו כבר עתה דברי בא כוח העוררים כאשר עומת </w:t>
      </w:r>
      <w:r w:rsidR="00C8031F">
        <w:rPr>
          <w:rFonts w:ascii="David" w:hAnsi="David" w:hint="cs"/>
          <w:noProof w:val="0"/>
          <w:rtl/>
        </w:rPr>
        <w:t xml:space="preserve">בישיבת קדם המשפט </w:t>
      </w:r>
      <w:r w:rsidRPr="002D0B5F">
        <w:rPr>
          <w:rFonts w:ascii="David" w:hAnsi="David"/>
          <w:noProof w:val="0"/>
          <w:rtl/>
        </w:rPr>
        <w:t xml:space="preserve">לגבי </w:t>
      </w:r>
      <w:r w:rsidR="00C8031F">
        <w:rPr>
          <w:rFonts w:ascii="David" w:hAnsi="David" w:hint="cs"/>
          <w:noProof w:val="0"/>
          <w:rtl/>
        </w:rPr>
        <w:t>העדרה</w:t>
      </w:r>
      <w:r w:rsidRPr="002D0B5F">
        <w:rPr>
          <w:rFonts w:ascii="David" w:hAnsi="David"/>
          <w:noProof w:val="0"/>
          <w:rtl/>
        </w:rPr>
        <w:t xml:space="preserve"> של נורמה חוקית המחילה חובת פרסום:</w:t>
      </w:r>
    </w:p>
    <w:p w:rsidR="00264D90" w:rsidRDefault="00264D90" w:rsidP="00264D90">
      <w:pPr>
        <w:spacing w:line="360" w:lineRule="auto"/>
        <w:jc w:val="both"/>
        <w:rPr>
          <w:rFonts w:ascii="David" w:hAnsi="David"/>
          <w:b/>
          <w:bCs/>
          <w:rtl/>
        </w:rPr>
      </w:pPr>
    </w:p>
    <w:p w:rsidR="00264D90" w:rsidRDefault="00264D90" w:rsidP="00264D90">
      <w:pPr>
        <w:spacing w:line="360" w:lineRule="auto"/>
        <w:ind w:left="1417"/>
        <w:jc w:val="both"/>
        <w:rPr>
          <w:rFonts w:ascii="David" w:hAnsi="David"/>
          <w:noProof w:val="0"/>
          <w:rtl/>
        </w:rPr>
      </w:pPr>
      <w:r>
        <w:rPr>
          <w:rFonts w:ascii="David" w:hAnsi="David"/>
          <w:b/>
          <w:bCs/>
          <w:rtl/>
        </w:rPr>
        <w:t>"</w:t>
      </w:r>
      <w:r w:rsidRPr="00272CAA">
        <w:rPr>
          <w:rFonts w:ascii="David" w:hAnsi="David"/>
          <w:b/>
          <w:bCs/>
          <w:u w:val="single"/>
          <w:rtl/>
        </w:rPr>
        <w:t>אני יכול להסכים שלפי החוק היבש, בגישה פורמליסטית, אז אין כאן טענה.</w:t>
      </w:r>
      <w:r>
        <w:rPr>
          <w:rFonts w:ascii="David" w:hAnsi="David"/>
          <w:b/>
          <w:bCs/>
          <w:rtl/>
        </w:rPr>
        <w:t xml:space="preserve"> אבל איך היו אומרים אצלנו בשכונה, זה לא פייר, זה לא צודק, ובדיוק בשביל מצבים כאלה נועדה ועדת הערר והאזרח יכול לבקש.</w:t>
      </w:r>
      <w:r>
        <w:rPr>
          <w:rFonts w:ascii="David" w:hAnsi="David"/>
          <w:b/>
          <w:bCs/>
          <w:noProof w:val="0"/>
          <w:rtl/>
        </w:rPr>
        <w:t>"</w:t>
      </w:r>
      <w:r>
        <w:rPr>
          <w:rFonts w:ascii="David" w:hAnsi="David"/>
          <w:noProof w:val="0"/>
          <w:rtl/>
        </w:rPr>
        <w:t xml:space="preserve"> (עמוד 2 לפרוטוקול, שורות 28-30)</w:t>
      </w:r>
    </w:p>
    <w:p w:rsidR="00264D90" w:rsidRDefault="00264D90" w:rsidP="00264D90">
      <w:pPr>
        <w:spacing w:line="360" w:lineRule="auto"/>
        <w:jc w:val="both"/>
        <w:rPr>
          <w:rFonts w:ascii="David" w:hAnsi="David"/>
          <w:noProof w:val="0"/>
          <w:rtl/>
        </w:rPr>
      </w:pPr>
    </w:p>
    <w:p w:rsidR="0080624C" w:rsidRDefault="00C8031F" w:rsidP="00E10582">
      <w:pPr>
        <w:pStyle w:val="ad"/>
        <w:numPr>
          <w:ilvl w:val="0"/>
          <w:numId w:val="2"/>
        </w:numPr>
        <w:spacing w:line="360" w:lineRule="auto"/>
        <w:jc w:val="both"/>
        <w:rPr>
          <w:rFonts w:ascii="David" w:hAnsi="David"/>
          <w:noProof w:val="0"/>
        </w:rPr>
      </w:pPr>
      <w:r w:rsidRPr="00486EA0">
        <w:rPr>
          <w:rFonts w:ascii="David" w:hAnsi="David" w:hint="cs"/>
          <w:noProof w:val="0"/>
          <w:rtl/>
        </w:rPr>
        <w:lastRenderedPageBreak/>
        <w:t>טענות</w:t>
      </w:r>
      <w:r w:rsidR="00264D90" w:rsidRPr="00486EA0">
        <w:rPr>
          <w:rFonts w:ascii="David" w:hAnsi="David"/>
          <w:noProof w:val="0"/>
          <w:rtl/>
        </w:rPr>
        <w:t xml:space="preserve"> העוררים </w:t>
      </w:r>
      <w:r w:rsidRPr="00486EA0">
        <w:rPr>
          <w:rFonts w:ascii="David" w:hAnsi="David" w:hint="cs"/>
          <w:noProof w:val="0"/>
          <w:rtl/>
        </w:rPr>
        <w:t>כוללות הנחה</w:t>
      </w:r>
      <w:r w:rsidR="00264D90" w:rsidRPr="00486EA0">
        <w:rPr>
          <w:rFonts w:ascii="David" w:hAnsi="David"/>
          <w:noProof w:val="0"/>
          <w:rtl/>
        </w:rPr>
        <w:t xml:space="preserve"> כי עומדת חובה לרשות מנהלית או על </w:t>
      </w:r>
      <w:r w:rsidRPr="00486EA0">
        <w:rPr>
          <w:rFonts w:ascii="David" w:hAnsi="David" w:hint="cs"/>
          <w:noProof w:val="0"/>
          <w:rtl/>
        </w:rPr>
        <w:t xml:space="preserve">משרד ממשלתי </w:t>
      </w:r>
      <w:r w:rsidR="00EE3184" w:rsidRPr="00486EA0">
        <w:rPr>
          <w:rFonts w:ascii="David" w:hAnsi="David"/>
          <w:noProof w:val="0"/>
          <w:rtl/>
        </w:rPr>
        <w:t>לפרסם את כוונת</w:t>
      </w:r>
      <w:r w:rsidR="00EE3184" w:rsidRPr="00486EA0">
        <w:rPr>
          <w:rFonts w:ascii="David" w:hAnsi="David" w:hint="cs"/>
          <w:noProof w:val="0"/>
          <w:rtl/>
        </w:rPr>
        <w:t>ם</w:t>
      </w:r>
      <w:r w:rsidR="00264D90" w:rsidRPr="00486EA0">
        <w:rPr>
          <w:rFonts w:ascii="David" w:hAnsi="David"/>
          <w:noProof w:val="0"/>
          <w:rtl/>
        </w:rPr>
        <w:t xml:space="preserve"> להביא לאישור </w:t>
      </w:r>
      <w:r w:rsidR="00B9799B" w:rsidRPr="00486EA0">
        <w:rPr>
          <w:rFonts w:ascii="David" w:hAnsi="David"/>
          <w:noProof w:val="0"/>
          <w:rtl/>
        </w:rPr>
        <w:t>הממשלה והכנסת שינויי חקיקה</w:t>
      </w:r>
      <w:r w:rsidR="00B9799B" w:rsidRPr="00486EA0">
        <w:rPr>
          <w:rFonts w:ascii="David" w:hAnsi="David" w:hint="cs"/>
          <w:noProof w:val="0"/>
          <w:rtl/>
        </w:rPr>
        <w:t>,</w:t>
      </w:r>
      <w:r w:rsidR="00B9799B" w:rsidRPr="00486EA0">
        <w:rPr>
          <w:rFonts w:ascii="David" w:hAnsi="David"/>
          <w:noProof w:val="0"/>
          <w:rtl/>
        </w:rPr>
        <w:t xml:space="preserve"> אלא</w:t>
      </w:r>
      <w:r w:rsidR="00264D90" w:rsidRPr="00486EA0">
        <w:rPr>
          <w:rFonts w:ascii="David" w:hAnsi="David"/>
          <w:noProof w:val="0"/>
          <w:rtl/>
        </w:rPr>
        <w:t xml:space="preserve"> </w:t>
      </w:r>
      <w:r w:rsidR="00B9799B" w:rsidRPr="00486EA0">
        <w:rPr>
          <w:rFonts w:ascii="David" w:hAnsi="David" w:hint="cs"/>
          <w:b/>
          <w:bCs/>
          <w:noProof w:val="0"/>
          <w:rtl/>
        </w:rPr>
        <w:t>ש</w:t>
      </w:r>
      <w:r w:rsidR="00264D90" w:rsidRPr="00486EA0">
        <w:rPr>
          <w:rFonts w:ascii="David" w:hAnsi="David"/>
          <w:b/>
          <w:bCs/>
          <w:noProof w:val="0"/>
          <w:rtl/>
        </w:rPr>
        <w:t>לא כך הדבר</w:t>
      </w:r>
      <w:r w:rsidR="00EE3184" w:rsidRPr="00486EA0">
        <w:rPr>
          <w:rFonts w:ascii="David" w:hAnsi="David"/>
          <w:noProof w:val="0"/>
          <w:rtl/>
        </w:rPr>
        <w:t>.</w:t>
      </w:r>
      <w:r w:rsidR="00264D90" w:rsidRPr="00486EA0">
        <w:rPr>
          <w:rFonts w:ascii="David" w:hAnsi="David"/>
          <w:noProof w:val="0"/>
          <w:rtl/>
        </w:rPr>
        <w:t xml:space="preserve"> לא קיימת חובה בדין על הרשות לפרסם מבעוד מועד את העובדה ששר האוצר מתכוון לפעול לקיצור הוראת השעה. </w:t>
      </w:r>
      <w:r w:rsidR="00B9799B" w:rsidRPr="00486EA0">
        <w:rPr>
          <w:rFonts w:ascii="David" w:hAnsi="David" w:hint="cs"/>
          <w:noProof w:val="0"/>
          <w:rtl/>
        </w:rPr>
        <w:t xml:space="preserve">אדרבה, קביעה לפיה </w:t>
      </w:r>
      <w:r w:rsidR="00B9799B" w:rsidRPr="00486EA0">
        <w:rPr>
          <w:rFonts w:ascii="David" w:hAnsi="David"/>
          <w:noProof w:val="0"/>
          <w:rtl/>
        </w:rPr>
        <w:t xml:space="preserve">כל רשות היוזמת שינוי חקיקה תקבע כרשלנית מקום שלא פרסמה מראש וברבים על שינוי צפוי, </w:t>
      </w:r>
      <w:r w:rsidR="00B9799B" w:rsidRPr="00486EA0">
        <w:rPr>
          <w:rFonts w:ascii="David" w:hAnsi="David" w:hint="cs"/>
          <w:noProof w:val="0"/>
          <w:rtl/>
        </w:rPr>
        <w:t>היא בלתי סבירה.</w:t>
      </w:r>
      <w:r w:rsidR="00EE3184" w:rsidRPr="00486EA0">
        <w:rPr>
          <w:rFonts w:ascii="David" w:hAnsi="David" w:hint="cs"/>
          <w:noProof w:val="0"/>
          <w:rtl/>
        </w:rPr>
        <w:t xml:space="preserve"> </w:t>
      </w:r>
    </w:p>
    <w:p w:rsidR="00486EA0" w:rsidRPr="00486EA0" w:rsidRDefault="00486EA0" w:rsidP="00486EA0">
      <w:pPr>
        <w:pStyle w:val="ad"/>
        <w:spacing w:line="360" w:lineRule="auto"/>
        <w:jc w:val="both"/>
        <w:rPr>
          <w:rFonts w:ascii="David" w:hAnsi="David"/>
          <w:noProof w:val="0"/>
        </w:rPr>
      </w:pPr>
    </w:p>
    <w:p w:rsidR="00264D90" w:rsidRDefault="00264D90" w:rsidP="00B9799B">
      <w:pPr>
        <w:pStyle w:val="ad"/>
        <w:numPr>
          <w:ilvl w:val="0"/>
          <w:numId w:val="2"/>
        </w:numPr>
        <w:spacing w:line="360" w:lineRule="auto"/>
        <w:jc w:val="both"/>
        <w:rPr>
          <w:rFonts w:ascii="David" w:hAnsi="David"/>
          <w:noProof w:val="0"/>
        </w:rPr>
      </w:pPr>
      <w:r w:rsidRPr="0080624C">
        <w:rPr>
          <w:rFonts w:ascii="David" w:hAnsi="David"/>
          <w:noProof w:val="0"/>
          <w:rtl/>
        </w:rPr>
        <w:t xml:space="preserve">בא כוח העוררים </w:t>
      </w:r>
      <w:r w:rsidR="00B9799B">
        <w:rPr>
          <w:rFonts w:ascii="David" w:hAnsi="David" w:hint="cs"/>
          <w:noProof w:val="0"/>
          <w:rtl/>
        </w:rPr>
        <w:t xml:space="preserve">אף </w:t>
      </w:r>
      <w:r w:rsidRPr="0080624C">
        <w:rPr>
          <w:rFonts w:ascii="David" w:hAnsi="David"/>
          <w:noProof w:val="0"/>
          <w:rtl/>
        </w:rPr>
        <w:t>לא ה</w:t>
      </w:r>
      <w:r w:rsidR="00B9799B">
        <w:rPr>
          <w:rFonts w:ascii="David" w:hAnsi="David" w:hint="cs"/>
          <w:noProof w:val="0"/>
          <w:rtl/>
        </w:rPr>
        <w:t>צליח לה</w:t>
      </w:r>
      <w:r w:rsidRPr="0080624C">
        <w:rPr>
          <w:rFonts w:ascii="David" w:hAnsi="David"/>
          <w:noProof w:val="0"/>
          <w:rtl/>
        </w:rPr>
        <w:t xml:space="preserve">ניח תשתית </w:t>
      </w:r>
      <w:r w:rsidR="00B9799B">
        <w:rPr>
          <w:rFonts w:ascii="David" w:hAnsi="David"/>
          <w:noProof w:val="0"/>
          <w:rtl/>
        </w:rPr>
        <w:t>כלשהי לקיומה של חובה כזאת בדין</w:t>
      </w:r>
      <w:r w:rsidR="00B9799B">
        <w:rPr>
          <w:rFonts w:ascii="David" w:hAnsi="David" w:hint="cs"/>
          <w:noProof w:val="0"/>
          <w:rtl/>
        </w:rPr>
        <w:t>:</w:t>
      </w:r>
    </w:p>
    <w:p w:rsidR="00B9799B" w:rsidRPr="00B9799B" w:rsidRDefault="00B9799B" w:rsidP="00B9799B">
      <w:pPr>
        <w:pStyle w:val="ad"/>
        <w:rPr>
          <w:rFonts w:ascii="David" w:hAnsi="David"/>
          <w:noProof w:val="0"/>
          <w:rtl/>
        </w:rPr>
      </w:pPr>
    </w:p>
    <w:p w:rsidR="0044003C" w:rsidRDefault="0044003C" w:rsidP="00EE5D30">
      <w:pPr>
        <w:spacing w:line="360" w:lineRule="auto"/>
        <w:ind w:left="1417"/>
        <w:jc w:val="both"/>
        <w:rPr>
          <w:b/>
          <w:bCs/>
          <w:rtl/>
        </w:rPr>
      </w:pPr>
      <w:r w:rsidRPr="0044003C">
        <w:rPr>
          <w:rFonts w:hint="cs"/>
          <w:b/>
          <w:bCs/>
          <w:rtl/>
        </w:rPr>
        <w:t>"</w:t>
      </w:r>
      <w:r w:rsidRPr="0044003C">
        <w:rPr>
          <w:rFonts w:hint="cs"/>
          <w:b/>
          <w:bCs/>
          <w:u w:val="single"/>
          <w:rtl/>
        </w:rPr>
        <w:t>בית המשפט</w:t>
      </w:r>
      <w:r w:rsidRPr="0044003C">
        <w:rPr>
          <w:rFonts w:hint="cs"/>
          <w:b/>
          <w:bCs/>
          <w:rtl/>
        </w:rPr>
        <w:t xml:space="preserve">: מנין החובה של הרשות המנהלית לפרסם את כוונתה להביא לאישור הממשלה והכנסת שינויי חקיקה? </w:t>
      </w:r>
    </w:p>
    <w:p w:rsidR="00EE5D30" w:rsidRPr="0044003C" w:rsidRDefault="00EE5D30" w:rsidP="00EE5D30">
      <w:pPr>
        <w:spacing w:line="360" w:lineRule="auto"/>
        <w:ind w:left="1417"/>
        <w:jc w:val="both"/>
        <w:rPr>
          <w:b/>
          <w:bCs/>
          <w:rtl/>
        </w:rPr>
      </w:pPr>
    </w:p>
    <w:p w:rsidR="00B9799B" w:rsidRPr="00D25B43" w:rsidRDefault="0044003C" w:rsidP="00EE5D30">
      <w:pPr>
        <w:spacing w:line="360" w:lineRule="auto"/>
        <w:ind w:left="1417"/>
        <w:jc w:val="both"/>
      </w:pPr>
      <w:r w:rsidRPr="0044003C">
        <w:rPr>
          <w:rFonts w:hint="cs"/>
          <w:b/>
          <w:bCs/>
          <w:u w:val="single"/>
          <w:rtl/>
        </w:rPr>
        <w:t>ב"כ העוררים</w:t>
      </w:r>
      <w:r w:rsidRPr="0044003C">
        <w:rPr>
          <w:rFonts w:hint="cs"/>
          <w:b/>
          <w:bCs/>
          <w:rtl/>
        </w:rPr>
        <w:t xml:space="preserve">: כפי שציינתי בראשית דבריי, מערך הדוברות נועד למטרה מסוימת. </w:t>
      </w:r>
      <w:r w:rsidRPr="0044003C">
        <w:rPr>
          <w:rFonts w:hint="cs"/>
          <w:b/>
          <w:bCs/>
          <w:u w:val="single"/>
          <w:rtl/>
        </w:rPr>
        <w:t xml:space="preserve">שמעתי את כב' בית המשפט שמדובר על חובה חוקית. אני משיב כי, הרשות המינהלית על פי ההגדרות כפי שנלמד בכל פקולטה משפטית, יש לה חובה מכוח התפקיד שלה לאפשר לאזרח לקבל החלטות נכונות עבורו, וכשהיא לא עושה את זה, היא בעצם לא מבצעת את תפקידה. </w:t>
      </w:r>
      <w:r w:rsidRPr="0044003C">
        <w:rPr>
          <w:rFonts w:hint="cs"/>
          <w:b/>
          <w:bCs/>
          <w:rtl/>
        </w:rPr>
        <w:t>אני רוצה לומר עוד דבר, אדוני אמר שכאשר שר האוצר רוצה לקדם הפופולריות שלו, מחילה, אבל לא לשם כך נועד מערך הדוברות. הוא נועד על מנת לאשר לאזרח לדעת תמונה מלאה שיוכל לקבל החלטות במישור שלו מול המדינה, שהיא בעצם נאמנת של כל האזרחים. זה דברים בסיסיים שאמורים לקום בכל מדינה דמוקרטית בה האזרח הוא בעצם הריבון. "</w:t>
      </w:r>
      <w:r w:rsidR="00D25B43">
        <w:rPr>
          <w:rFonts w:hint="cs"/>
          <w:b/>
          <w:bCs/>
          <w:rtl/>
        </w:rPr>
        <w:t xml:space="preserve"> </w:t>
      </w:r>
      <w:r w:rsidR="00D25B43">
        <w:rPr>
          <w:rFonts w:hint="cs"/>
          <w:rtl/>
        </w:rPr>
        <w:t>(</w:t>
      </w:r>
      <w:r w:rsidR="00EE5D30">
        <w:rPr>
          <w:rFonts w:hint="cs"/>
          <w:rtl/>
        </w:rPr>
        <w:t xml:space="preserve">עמוד 2 </w:t>
      </w:r>
      <w:r w:rsidR="00D25B43">
        <w:rPr>
          <w:rFonts w:hint="cs"/>
          <w:rtl/>
        </w:rPr>
        <w:t xml:space="preserve">לפרוטוקול, שורות </w:t>
      </w:r>
      <w:r w:rsidR="00EE5D30">
        <w:rPr>
          <w:rFonts w:hint="cs"/>
          <w:rtl/>
        </w:rPr>
        <w:t xml:space="preserve">14-24, </w:t>
      </w:r>
      <w:r w:rsidR="00D25B43">
        <w:rPr>
          <w:rFonts w:hint="cs"/>
          <w:rtl/>
        </w:rPr>
        <w:t>ההדגש</w:t>
      </w:r>
      <w:r w:rsidR="00EE5D30">
        <w:rPr>
          <w:rFonts w:hint="cs"/>
          <w:rtl/>
        </w:rPr>
        <w:t>ות אינן במקור)</w:t>
      </w:r>
    </w:p>
    <w:p w:rsidR="00B9799B" w:rsidRPr="0044003C" w:rsidRDefault="00B9799B" w:rsidP="0044003C">
      <w:pPr>
        <w:spacing w:line="360" w:lineRule="auto"/>
        <w:ind w:left="1417"/>
        <w:jc w:val="both"/>
        <w:rPr>
          <w:rFonts w:ascii="David" w:hAnsi="David"/>
          <w:b/>
          <w:bCs/>
          <w:noProof w:val="0"/>
        </w:rPr>
      </w:pPr>
    </w:p>
    <w:p w:rsidR="002D0B5F" w:rsidRPr="00EE5D30" w:rsidRDefault="00264D90" w:rsidP="004E37C8">
      <w:pPr>
        <w:pStyle w:val="ad"/>
        <w:numPr>
          <w:ilvl w:val="0"/>
          <w:numId w:val="2"/>
        </w:numPr>
        <w:spacing w:line="360" w:lineRule="auto"/>
        <w:jc w:val="both"/>
      </w:pPr>
      <w:r>
        <w:rPr>
          <w:rFonts w:ascii="David" w:hAnsi="David"/>
          <w:noProof w:val="0"/>
          <w:rtl/>
        </w:rPr>
        <w:lastRenderedPageBreak/>
        <w:t xml:space="preserve">בא כוח העוררים התייחס </w:t>
      </w:r>
      <w:r w:rsidR="00EE3184">
        <w:rPr>
          <w:rFonts w:ascii="David" w:hAnsi="David" w:hint="cs"/>
          <w:noProof w:val="0"/>
          <w:rtl/>
        </w:rPr>
        <w:t>לרפורמות בתחום המס</w:t>
      </w:r>
      <w:r>
        <w:rPr>
          <w:rFonts w:ascii="David" w:hAnsi="David"/>
          <w:noProof w:val="0"/>
          <w:rtl/>
        </w:rPr>
        <w:t xml:space="preserve"> בהן היה פרסום מראש של כוונה לשנות הס</w:t>
      </w:r>
      <w:r w:rsidR="002D0B5F">
        <w:rPr>
          <w:rFonts w:ascii="David" w:hAnsi="David"/>
          <w:noProof w:val="0"/>
          <w:rtl/>
        </w:rPr>
        <w:t>דרי מיסוי על ידי שר האוצר</w:t>
      </w:r>
      <w:r w:rsidR="002D0B5F">
        <w:rPr>
          <w:rFonts w:ascii="David" w:hAnsi="David" w:hint="cs"/>
          <w:noProof w:val="0"/>
          <w:rtl/>
        </w:rPr>
        <w:t xml:space="preserve">: </w:t>
      </w:r>
      <w:r w:rsidR="002D0B5F">
        <w:rPr>
          <w:rFonts w:hint="cs"/>
          <w:rtl/>
        </w:rPr>
        <w:t xml:space="preserve">הודעת דוברות של </w:t>
      </w:r>
      <w:r w:rsidR="00EE3184">
        <w:rPr>
          <w:rFonts w:hint="cs"/>
          <w:rtl/>
        </w:rPr>
        <w:t>משרד</w:t>
      </w:r>
      <w:r w:rsidR="002D0B5F">
        <w:rPr>
          <w:rFonts w:hint="cs"/>
          <w:rtl/>
        </w:rPr>
        <w:t xml:space="preserve"> האוצר על פיה תוגש על ידי השר הצעת חקיקה להחלת מע"מ בשיעור אפס על שירותים הניתנים בפרויקטים של תמ"א 38 ופינוי בינוי (22.5.14); הודעת לעיתונות לפיה שר האוצר הפיץ תזכיר תקנות המסדירות תשלומי מענקי סיוע לעצמאיות שהיו בחופשת לידה ולמשרתי מילואים (29.10.20); הודעת דוברות </w:t>
      </w:r>
      <w:r w:rsidR="00EE3184">
        <w:rPr>
          <w:rFonts w:hint="cs"/>
          <w:rtl/>
        </w:rPr>
        <w:t>משרד האוצר על כוונה</w:t>
      </w:r>
      <w:r w:rsidR="002D0B5F">
        <w:rPr>
          <w:rFonts w:hint="cs"/>
          <w:rtl/>
        </w:rPr>
        <w:t xml:space="preserve"> להאריך את ביטול המכס ומס הקניה במסגרת תכניות "נטו" (15.12.18), </w:t>
      </w:r>
      <w:r w:rsidRPr="002D0B5F">
        <w:rPr>
          <w:rFonts w:ascii="David" w:hAnsi="David"/>
          <w:noProof w:val="0"/>
          <w:rtl/>
        </w:rPr>
        <w:t xml:space="preserve">(ראו נספח 12 לסיכומי העוררים). </w:t>
      </w:r>
      <w:r w:rsidR="00EE5D30">
        <w:rPr>
          <w:rFonts w:hint="cs"/>
          <w:rtl/>
        </w:rPr>
        <w:t xml:space="preserve">לטענתו, </w:t>
      </w:r>
      <w:r w:rsidR="00EE5D30" w:rsidRPr="00EE5D30">
        <w:rPr>
          <w:rFonts w:hint="cs"/>
          <w:rtl/>
        </w:rPr>
        <w:t xml:space="preserve">הודעות אלה ניתנו מתוך מטרה לאפשר לאזרח לקבל את ההחלטות המיטביות עבורו מול הרשות. </w:t>
      </w:r>
      <w:r w:rsidR="006F7C16">
        <w:rPr>
          <w:rFonts w:hint="cs"/>
          <w:rtl/>
        </w:rPr>
        <w:t>יש להבחין בהקשר זה בין רפורמות מיסוי המחי</w:t>
      </w:r>
      <w:r w:rsidR="00A27AD0">
        <w:rPr>
          <w:rFonts w:hint="cs"/>
          <w:rtl/>
        </w:rPr>
        <w:t xml:space="preserve">יבות שינוי חקיקה ראשית, לבין רפורמות המיושמות על ידי צווים של שר האוצר. בעוד שהרפורמות מן הסוג הראשון מחייבות הליכי חקיקה פומביים (פרסום הצעת חוק, קריאה ראשונה בכנסת, דיונים בוועדת הכספים של הכנסת ולאחר מכן, קריאה </w:t>
      </w:r>
      <w:r w:rsidR="004E37C8">
        <w:rPr>
          <w:rFonts w:hint="cs"/>
          <w:rtl/>
        </w:rPr>
        <w:t>שניה ושלישית בכנסת),</w:t>
      </w:r>
      <w:r w:rsidR="00A27AD0">
        <w:rPr>
          <w:rFonts w:hint="cs"/>
          <w:rtl/>
        </w:rPr>
        <w:t xml:space="preserve"> הרפורמות מן הסוג השני, אינן כרוכות בהליך חקיקה פומבי, ואינן מאפשרות את השתתפות הציבור בהליך זה. </w:t>
      </w:r>
      <w:r w:rsidR="00380C3C">
        <w:rPr>
          <w:rFonts w:hint="cs"/>
          <w:rtl/>
        </w:rPr>
        <w:t xml:space="preserve">ביחס לרפורמות מן הסוג השני, </w:t>
      </w:r>
      <w:r w:rsidR="004E37C8">
        <w:rPr>
          <w:rFonts w:hint="cs"/>
          <w:rtl/>
        </w:rPr>
        <w:t xml:space="preserve">יתכן </w:t>
      </w:r>
      <w:r w:rsidR="00380C3C">
        <w:rPr>
          <w:rFonts w:hint="cs"/>
          <w:rtl/>
        </w:rPr>
        <w:t xml:space="preserve"> </w:t>
      </w:r>
      <w:r w:rsidR="004E37C8">
        <w:rPr>
          <w:rFonts w:hint="cs"/>
          <w:rtl/>
        </w:rPr>
        <w:t>ש</w:t>
      </w:r>
      <w:r w:rsidR="00380C3C">
        <w:rPr>
          <w:rFonts w:hint="cs"/>
          <w:rtl/>
        </w:rPr>
        <w:t xml:space="preserve">ראוי להביא </w:t>
      </w:r>
      <w:r w:rsidR="004E37C8">
        <w:rPr>
          <w:rFonts w:hint="cs"/>
          <w:rtl/>
        </w:rPr>
        <w:t xml:space="preserve">אותן </w:t>
      </w:r>
      <w:r w:rsidR="00380C3C">
        <w:rPr>
          <w:rFonts w:hint="cs"/>
          <w:rtl/>
        </w:rPr>
        <w:t>לידיעת הציבור מראש, לפני יישומן בפועל, מה שאינו נדרש ברפורמות מן</w:t>
      </w:r>
      <w:r w:rsidR="004E37C8">
        <w:rPr>
          <w:rFonts w:hint="cs"/>
          <w:rtl/>
        </w:rPr>
        <w:t xml:space="preserve"> הסוג הראשון. כך, למשל, בדוגמא שצוינה</w:t>
      </w:r>
      <w:r w:rsidR="00380C3C">
        <w:rPr>
          <w:rFonts w:hint="cs"/>
          <w:rtl/>
        </w:rPr>
        <w:t xml:space="preserve"> על ידי בא כוח העוררים, ביטול מכס ומס קניה, מתבצע בצו של שר האוצר ללא שינוי חקיקה ראשית.</w:t>
      </w:r>
    </w:p>
    <w:p w:rsidR="002D0B5F" w:rsidRPr="002D0B5F" w:rsidRDefault="002D0B5F" w:rsidP="002D0B5F">
      <w:pPr>
        <w:pStyle w:val="ad"/>
        <w:spacing w:line="360" w:lineRule="auto"/>
        <w:jc w:val="both"/>
      </w:pPr>
    </w:p>
    <w:p w:rsidR="00264D90" w:rsidRDefault="00380C3C" w:rsidP="0004773A">
      <w:pPr>
        <w:pStyle w:val="ad"/>
        <w:numPr>
          <w:ilvl w:val="0"/>
          <w:numId w:val="2"/>
        </w:numPr>
        <w:spacing w:line="360" w:lineRule="auto"/>
        <w:jc w:val="both"/>
      </w:pPr>
      <w:r>
        <w:rPr>
          <w:rFonts w:ascii="David" w:hAnsi="David" w:hint="cs"/>
          <w:noProof w:val="0"/>
          <w:rtl/>
        </w:rPr>
        <w:t>העובדה כי משרד האוצר פרסם הודעות לתקשורת במספר פעמים,</w:t>
      </w:r>
      <w:r w:rsidR="00264D90" w:rsidRPr="002D0B5F">
        <w:rPr>
          <w:rFonts w:ascii="David" w:hAnsi="David"/>
          <w:noProof w:val="0"/>
          <w:rtl/>
        </w:rPr>
        <w:t xml:space="preserve"> </w:t>
      </w:r>
      <w:r w:rsidR="002D0B5F">
        <w:rPr>
          <w:rFonts w:ascii="David" w:hAnsi="David" w:hint="cs"/>
          <w:noProof w:val="0"/>
          <w:rtl/>
        </w:rPr>
        <w:t xml:space="preserve">לא </w:t>
      </w:r>
      <w:r>
        <w:rPr>
          <w:rFonts w:ascii="David" w:hAnsi="David" w:hint="cs"/>
          <w:noProof w:val="0"/>
          <w:rtl/>
        </w:rPr>
        <w:t>מאפ</w:t>
      </w:r>
      <w:r w:rsidR="0061325C">
        <w:rPr>
          <w:rFonts w:ascii="David" w:hAnsi="David" w:hint="cs"/>
          <w:noProof w:val="0"/>
          <w:rtl/>
        </w:rPr>
        <w:t>ש</w:t>
      </w:r>
      <w:r>
        <w:rPr>
          <w:rFonts w:ascii="David" w:hAnsi="David" w:hint="cs"/>
          <w:noProof w:val="0"/>
          <w:rtl/>
        </w:rPr>
        <w:t>רת</w:t>
      </w:r>
      <w:r w:rsidR="00264D90" w:rsidRPr="002D0B5F">
        <w:rPr>
          <w:rFonts w:ascii="David" w:hAnsi="David"/>
          <w:noProof w:val="0"/>
          <w:rtl/>
        </w:rPr>
        <w:t xml:space="preserve"> להסיק על חובה העומדת למשרדי הממשלה להצהיר</w:t>
      </w:r>
      <w:r>
        <w:rPr>
          <w:rFonts w:ascii="David" w:hAnsi="David" w:hint="cs"/>
          <w:noProof w:val="0"/>
          <w:rtl/>
        </w:rPr>
        <w:t xml:space="preserve"> על</w:t>
      </w:r>
      <w:r w:rsidR="00264D90" w:rsidRPr="002D0B5F">
        <w:rPr>
          <w:rFonts w:ascii="David" w:hAnsi="David"/>
          <w:noProof w:val="0"/>
          <w:rtl/>
        </w:rPr>
        <w:t xml:space="preserve"> כוונות</w:t>
      </w:r>
      <w:r w:rsidR="0004773A">
        <w:rPr>
          <w:rFonts w:ascii="David" w:hAnsi="David" w:hint="cs"/>
          <w:noProof w:val="0"/>
          <w:rtl/>
        </w:rPr>
        <w:t xml:space="preserve"> ל</w:t>
      </w:r>
      <w:r w:rsidR="002D0B5F">
        <w:rPr>
          <w:rFonts w:ascii="David" w:hAnsi="David" w:hint="cs"/>
          <w:noProof w:val="0"/>
          <w:rtl/>
        </w:rPr>
        <w:t>קידום חקיקה כזאת או אחרת</w:t>
      </w:r>
      <w:r w:rsidR="00264D90" w:rsidRPr="002D0B5F">
        <w:rPr>
          <w:rFonts w:ascii="David" w:hAnsi="David"/>
          <w:noProof w:val="0"/>
          <w:rtl/>
        </w:rPr>
        <w:t xml:space="preserve">. </w:t>
      </w:r>
      <w:r w:rsidR="0004773A">
        <w:rPr>
          <w:rFonts w:ascii="David" w:hAnsi="David" w:hint="cs"/>
          <w:noProof w:val="0"/>
          <w:rtl/>
        </w:rPr>
        <w:t>גם</w:t>
      </w:r>
      <w:r w:rsidR="00264D90" w:rsidRPr="002D0B5F">
        <w:rPr>
          <w:rFonts w:ascii="David" w:hAnsi="David"/>
          <w:noProof w:val="0"/>
          <w:rtl/>
        </w:rPr>
        <w:t xml:space="preserve"> פרסומים </w:t>
      </w:r>
      <w:r w:rsidR="00EE5D30">
        <w:rPr>
          <w:rFonts w:ascii="David" w:hAnsi="David" w:hint="cs"/>
          <w:noProof w:val="0"/>
          <w:rtl/>
        </w:rPr>
        <w:t>שונים</w:t>
      </w:r>
      <w:r w:rsidR="0004773A">
        <w:rPr>
          <w:rFonts w:ascii="David" w:hAnsi="David"/>
          <w:noProof w:val="0"/>
          <w:rtl/>
        </w:rPr>
        <w:t xml:space="preserve"> שביצע</w:t>
      </w:r>
      <w:r w:rsidR="00264D90" w:rsidRPr="002D0B5F">
        <w:rPr>
          <w:rFonts w:ascii="David" w:hAnsi="David"/>
          <w:noProof w:val="0"/>
          <w:rtl/>
        </w:rPr>
        <w:t xml:space="preserve"> </w:t>
      </w:r>
      <w:r w:rsidR="0004773A">
        <w:rPr>
          <w:rFonts w:ascii="David" w:hAnsi="David" w:hint="cs"/>
          <w:noProof w:val="0"/>
          <w:rtl/>
        </w:rPr>
        <w:t>משרד האוצר</w:t>
      </w:r>
      <w:r w:rsidR="00264D90" w:rsidRPr="002D0B5F">
        <w:rPr>
          <w:rFonts w:ascii="David" w:hAnsi="David"/>
          <w:noProof w:val="0"/>
          <w:rtl/>
        </w:rPr>
        <w:t xml:space="preserve"> באמצעות אגף הדוברות או באמצעות מערכת הדיוור של רשות המיסים </w:t>
      </w:r>
      <w:r w:rsidR="0004773A">
        <w:rPr>
          <w:rFonts w:ascii="David" w:hAnsi="David" w:hint="cs"/>
          <w:noProof w:val="0"/>
          <w:rtl/>
        </w:rPr>
        <w:t>אינם מלמדים על חובה, אשר הפרתה מקימה עילה בנזיקין.</w:t>
      </w:r>
    </w:p>
    <w:p w:rsidR="002D0B5F" w:rsidRPr="002D0B5F" w:rsidRDefault="002D0B5F" w:rsidP="002D0B5F">
      <w:pPr>
        <w:spacing w:line="360" w:lineRule="auto"/>
        <w:jc w:val="both"/>
        <w:rPr>
          <w:rtl/>
        </w:rPr>
      </w:pPr>
    </w:p>
    <w:p w:rsidR="00B83EBE" w:rsidRDefault="002D0B5F" w:rsidP="00B83EBE">
      <w:pPr>
        <w:pStyle w:val="ad"/>
        <w:numPr>
          <w:ilvl w:val="0"/>
          <w:numId w:val="2"/>
        </w:numPr>
        <w:spacing w:line="360" w:lineRule="auto"/>
        <w:jc w:val="both"/>
        <w:rPr>
          <w:rFonts w:ascii="David" w:hAnsi="David"/>
        </w:rPr>
      </w:pPr>
      <w:r w:rsidRPr="0061325C">
        <w:rPr>
          <w:rFonts w:ascii="David" w:hAnsi="David" w:hint="cs"/>
          <w:rtl/>
        </w:rPr>
        <w:lastRenderedPageBreak/>
        <w:t xml:space="preserve">לפי הדין </w:t>
      </w:r>
      <w:r w:rsidR="00F4119A" w:rsidRPr="0061325C">
        <w:rPr>
          <w:rFonts w:ascii="David" w:hAnsi="David" w:hint="cs"/>
          <w:rtl/>
        </w:rPr>
        <w:t>חלה חובה לפרסם ברשומות הצעות חוק</w:t>
      </w:r>
      <w:r w:rsidRPr="0061325C">
        <w:rPr>
          <w:rFonts w:ascii="David" w:hAnsi="David" w:hint="cs"/>
          <w:rtl/>
        </w:rPr>
        <w:t xml:space="preserve"> </w:t>
      </w:r>
      <w:r w:rsidR="00F4119A" w:rsidRPr="0061325C">
        <w:rPr>
          <w:rFonts w:ascii="David" w:hAnsi="David" w:hint="cs"/>
          <w:rtl/>
        </w:rPr>
        <w:t>ו</w:t>
      </w:r>
      <w:r w:rsidR="00264D90" w:rsidRPr="0061325C">
        <w:rPr>
          <w:rFonts w:ascii="David" w:hAnsi="David"/>
          <w:rtl/>
        </w:rPr>
        <w:t>חובת פרסום חוק</w:t>
      </w:r>
      <w:r w:rsidRPr="0061325C">
        <w:rPr>
          <w:rFonts w:ascii="David" w:hAnsi="David" w:hint="cs"/>
          <w:rtl/>
        </w:rPr>
        <w:t xml:space="preserve"> </w:t>
      </w:r>
      <w:r w:rsidR="00F4119A" w:rsidRPr="0061325C">
        <w:rPr>
          <w:rFonts w:ascii="David" w:hAnsi="David" w:hint="cs"/>
          <w:rtl/>
        </w:rPr>
        <w:t xml:space="preserve">שאושר בכנסת </w:t>
      </w:r>
      <w:r w:rsidR="00264D90" w:rsidRPr="0061325C">
        <w:rPr>
          <w:rFonts w:ascii="David" w:hAnsi="David"/>
          <w:rtl/>
        </w:rPr>
        <w:t>קמה לאחר שנתקבל בקריאה השלישית. החוק מתפרסם באתר האינטרנט של הכנסת בנ</w:t>
      </w:r>
      <w:r w:rsidRPr="0061325C">
        <w:rPr>
          <w:rFonts w:ascii="David" w:hAnsi="David"/>
          <w:rtl/>
        </w:rPr>
        <w:t>וסח לא רשמי ואחר כך מתפרסם גם ברשומות</w:t>
      </w:r>
      <w:r w:rsidR="00264D90" w:rsidRPr="0061325C">
        <w:rPr>
          <w:rFonts w:ascii="David" w:hAnsi="David"/>
          <w:rtl/>
        </w:rPr>
        <w:t xml:space="preserve"> וגם</w:t>
      </w:r>
      <w:r w:rsidR="004E37C8">
        <w:rPr>
          <w:rFonts w:ascii="David" w:hAnsi="David"/>
          <w:rtl/>
        </w:rPr>
        <w:t xml:space="preserve"> באתר הכנסת בנוסחו הרשמי. מעבר </w:t>
      </w:r>
      <w:r w:rsidR="004E37C8">
        <w:rPr>
          <w:rFonts w:ascii="David" w:hAnsi="David" w:hint="cs"/>
          <w:rtl/>
        </w:rPr>
        <w:t>לפרסום ב</w:t>
      </w:r>
      <w:r w:rsidR="00264D90" w:rsidRPr="0061325C">
        <w:rPr>
          <w:rFonts w:ascii="David" w:hAnsi="David"/>
          <w:rtl/>
        </w:rPr>
        <w:t>רשומות וה</w:t>
      </w:r>
      <w:r w:rsidR="004E37C8">
        <w:rPr>
          <w:rFonts w:ascii="David" w:hAnsi="David"/>
          <w:rtl/>
        </w:rPr>
        <w:t>נחת ההצעה על שולחן הכנסת, הרשות</w:t>
      </w:r>
      <w:r w:rsidR="00264D90" w:rsidRPr="0061325C">
        <w:rPr>
          <w:rFonts w:ascii="David" w:hAnsi="David"/>
          <w:rtl/>
        </w:rPr>
        <w:t xml:space="preserve"> לא חייב</w:t>
      </w:r>
      <w:r w:rsidRPr="0061325C">
        <w:rPr>
          <w:rFonts w:ascii="David" w:hAnsi="David" w:hint="cs"/>
          <w:rtl/>
        </w:rPr>
        <w:t>ת</w:t>
      </w:r>
      <w:r w:rsidR="00264D90" w:rsidRPr="0061325C">
        <w:rPr>
          <w:rFonts w:ascii="David" w:hAnsi="David"/>
          <w:rtl/>
        </w:rPr>
        <w:t xml:space="preserve"> בהודעות פומביות </w:t>
      </w:r>
      <w:r w:rsidRPr="0061325C">
        <w:rPr>
          <w:rFonts w:ascii="David" w:hAnsi="David" w:hint="cs"/>
          <w:rtl/>
        </w:rPr>
        <w:t>ו</w:t>
      </w:r>
      <w:r w:rsidR="00264D90" w:rsidRPr="0061325C">
        <w:rPr>
          <w:rFonts w:ascii="David" w:hAnsi="David"/>
          <w:rtl/>
        </w:rPr>
        <w:t xml:space="preserve">בקיום "הליך גלוי לאזרח" כטענת העוררים. </w:t>
      </w:r>
    </w:p>
    <w:p w:rsidR="00B83EBE" w:rsidRPr="00B83EBE" w:rsidRDefault="00B83EBE" w:rsidP="00B83EBE">
      <w:pPr>
        <w:pStyle w:val="ad"/>
        <w:rPr>
          <w:rFonts w:ascii="David" w:hAnsi="David"/>
          <w:noProof w:val="0"/>
          <w:rtl/>
        </w:rPr>
      </w:pPr>
    </w:p>
    <w:p w:rsidR="00B83EBE" w:rsidRDefault="00B83EBE" w:rsidP="001252A5">
      <w:pPr>
        <w:pStyle w:val="ad"/>
        <w:numPr>
          <w:ilvl w:val="0"/>
          <w:numId w:val="2"/>
        </w:numPr>
        <w:spacing w:line="360" w:lineRule="auto"/>
        <w:jc w:val="both"/>
        <w:rPr>
          <w:rFonts w:ascii="David" w:hAnsi="David"/>
        </w:rPr>
      </w:pPr>
      <w:r w:rsidRPr="006E6DD8">
        <w:rPr>
          <w:rFonts w:ascii="David" w:hAnsi="David"/>
          <w:noProof w:val="0"/>
          <w:rtl/>
        </w:rPr>
        <w:t xml:space="preserve">הצעת חוק שפורסמה מעמידה את הציבור על כוונת הממשלה להביא לשינוי חקיקתי. בענייננו, הצעת החוק המקורית לא כללה את ביטול הוראת השעה אלא הנושא הועלה על ידי שר האוצר בהמשך הליך החקיקה במסגרת הדיונים בכנסת (נספח 4 לסיכומי העוררים). כאמור לעיל, טענת העוררים הייתה לקיומו של הליך חקיקה "סודי" משלא פעל שר האוצר לפרסום רשמי דרך ערוץ הדוברות של משרד האוצר. פרסומי הרשות דרך מערך הדוברות מאפשרים איפוא פיזור המידע לעיתונות ולתקשורת ומהן לציבור. בענייננו, אף </w:t>
      </w:r>
      <w:r w:rsidR="00A2397A" w:rsidRPr="006E6DD8">
        <w:rPr>
          <w:rFonts w:ascii="David" w:hAnsi="David" w:hint="cs"/>
          <w:noProof w:val="0"/>
          <w:rtl/>
        </w:rPr>
        <w:t>ב</w:t>
      </w:r>
      <w:r w:rsidRPr="006E6DD8">
        <w:rPr>
          <w:rFonts w:ascii="David" w:hAnsi="David"/>
          <w:noProof w:val="0"/>
          <w:rtl/>
        </w:rPr>
        <w:t xml:space="preserve">העדר פרסום </w:t>
      </w:r>
      <w:r w:rsidR="00A2397A" w:rsidRPr="006E6DD8">
        <w:rPr>
          <w:rFonts w:ascii="David" w:hAnsi="David" w:hint="cs"/>
          <w:noProof w:val="0"/>
          <w:rtl/>
        </w:rPr>
        <w:t xml:space="preserve">יזום של </w:t>
      </w:r>
      <w:r w:rsidRPr="006E6DD8">
        <w:rPr>
          <w:rFonts w:ascii="David" w:hAnsi="David"/>
          <w:noProof w:val="0"/>
          <w:rtl/>
        </w:rPr>
        <w:t>דוברות משרד האוצר, נעשו פרסומים אודות הוראת השעה והדיונים לגבי</w:t>
      </w:r>
      <w:r w:rsidR="00A2397A" w:rsidRPr="006E6DD8">
        <w:rPr>
          <w:rFonts w:ascii="David" w:hAnsi="David"/>
          <w:noProof w:val="0"/>
          <w:rtl/>
        </w:rPr>
        <w:t>ה בוועדת הכספים של הכנסת</w:t>
      </w:r>
      <w:r w:rsidRPr="006E6DD8">
        <w:rPr>
          <w:rFonts w:ascii="David" w:hAnsi="David"/>
          <w:noProof w:val="0"/>
          <w:rtl/>
        </w:rPr>
        <w:t xml:space="preserve"> </w:t>
      </w:r>
      <w:r w:rsidR="00A2397A" w:rsidRPr="006E6DD8">
        <w:rPr>
          <w:rFonts w:ascii="David" w:hAnsi="David" w:hint="cs"/>
          <w:noProof w:val="0"/>
          <w:rtl/>
        </w:rPr>
        <w:t>ב</w:t>
      </w:r>
      <w:r w:rsidRPr="006E6DD8">
        <w:rPr>
          <w:rFonts w:ascii="David" w:hAnsi="David"/>
          <w:noProof w:val="0"/>
          <w:rtl/>
        </w:rPr>
        <w:t>אתרי 'כלכליסט' ו'דה- מרקר' בתאריכים 12.7.20 ו-28.07.20 (נספחים 1 ו-7 לסיכומי העוררים). אלא שגם לפרסומים אלו לא נחשפו העוררים טרם ביצוע עסקת הרכישה משטענו כי נודע להם על השינוי בחוק רק ביום 29.7.20</w:t>
      </w:r>
      <w:r w:rsidR="006E6DD8" w:rsidRPr="006E6DD8">
        <w:rPr>
          <w:rFonts w:ascii="David" w:hAnsi="David" w:hint="cs"/>
          <w:noProof w:val="0"/>
          <w:rtl/>
        </w:rPr>
        <w:t>.</w:t>
      </w:r>
      <w:r w:rsidRPr="006E6DD8">
        <w:rPr>
          <w:rFonts w:ascii="David" w:hAnsi="David"/>
          <w:noProof w:val="0"/>
          <w:rtl/>
        </w:rPr>
        <w:t xml:space="preserve"> </w:t>
      </w:r>
      <w:r w:rsidR="006E6DD8" w:rsidRPr="006E6DD8">
        <w:rPr>
          <w:rFonts w:ascii="David" w:hAnsi="David" w:hint="cs"/>
          <w:noProof w:val="0"/>
          <w:rtl/>
        </w:rPr>
        <w:t xml:space="preserve">הדבר מעמיד בספק את </w:t>
      </w:r>
      <w:r w:rsidR="006E6DD8" w:rsidRPr="006E6DD8">
        <w:rPr>
          <w:rFonts w:ascii="David" w:hAnsi="David"/>
          <w:noProof w:val="0"/>
          <w:rtl/>
        </w:rPr>
        <w:t>טענת העוררים כי אי-פרסום ב</w:t>
      </w:r>
      <w:r w:rsidR="006E6DD8" w:rsidRPr="006E6DD8">
        <w:rPr>
          <w:rFonts w:ascii="David" w:hAnsi="David" w:hint="cs"/>
          <w:noProof w:val="0"/>
          <w:rtl/>
        </w:rPr>
        <w:t>אמצעות מערך</w:t>
      </w:r>
      <w:r w:rsidRPr="006E6DD8">
        <w:rPr>
          <w:rFonts w:ascii="David" w:hAnsi="David"/>
          <w:noProof w:val="0"/>
          <w:rtl/>
        </w:rPr>
        <w:t xml:space="preserve"> הדוברות הביא לחוסר יכ</w:t>
      </w:r>
      <w:r w:rsidR="006E6DD8" w:rsidRPr="006E6DD8">
        <w:rPr>
          <w:rFonts w:ascii="David" w:hAnsi="David" w:hint="cs"/>
          <w:noProof w:val="0"/>
          <w:rtl/>
        </w:rPr>
        <w:t>ו</w:t>
      </w:r>
      <w:r w:rsidRPr="006E6DD8">
        <w:rPr>
          <w:rFonts w:ascii="David" w:hAnsi="David"/>
          <w:noProof w:val="0"/>
          <w:rtl/>
        </w:rPr>
        <w:t>לתם ל</w:t>
      </w:r>
      <w:r w:rsidR="006E6DD8" w:rsidRPr="006E6DD8">
        <w:rPr>
          <w:rFonts w:ascii="David" w:hAnsi="David" w:hint="cs"/>
          <w:noProof w:val="0"/>
          <w:rtl/>
        </w:rPr>
        <w:t>דעת על</w:t>
      </w:r>
      <w:r w:rsidRPr="006E6DD8">
        <w:rPr>
          <w:rFonts w:ascii="David" w:hAnsi="David"/>
          <w:noProof w:val="0"/>
          <w:rtl/>
        </w:rPr>
        <w:t xml:space="preserve"> </w:t>
      </w:r>
      <w:r w:rsidR="006E6DD8" w:rsidRPr="006E6DD8">
        <w:rPr>
          <w:rFonts w:ascii="David" w:hAnsi="David" w:hint="cs"/>
          <w:noProof w:val="0"/>
          <w:rtl/>
        </w:rPr>
        <w:t>ה</w:t>
      </w:r>
      <w:r w:rsidRPr="006E6DD8">
        <w:rPr>
          <w:rFonts w:ascii="David" w:hAnsi="David"/>
          <w:noProof w:val="0"/>
          <w:rtl/>
        </w:rPr>
        <w:t xml:space="preserve">שינוי הצפוי ולהיערך בהתאם. </w:t>
      </w:r>
    </w:p>
    <w:p w:rsidR="006E6DD8" w:rsidRPr="006E6DD8" w:rsidRDefault="006E6DD8" w:rsidP="006E6DD8">
      <w:pPr>
        <w:pStyle w:val="ad"/>
        <w:rPr>
          <w:rFonts w:ascii="David" w:hAnsi="David"/>
          <w:rtl/>
        </w:rPr>
      </w:pPr>
    </w:p>
    <w:p w:rsidR="006E6DD8" w:rsidRPr="006E6DD8" w:rsidRDefault="006E6DD8" w:rsidP="006E6DD8">
      <w:pPr>
        <w:spacing w:line="360" w:lineRule="auto"/>
        <w:jc w:val="both"/>
        <w:rPr>
          <w:rFonts w:ascii="David" w:hAnsi="David"/>
        </w:rPr>
      </w:pPr>
    </w:p>
    <w:p w:rsidR="00264D90" w:rsidRDefault="00264D90" w:rsidP="00F4119A">
      <w:pPr>
        <w:pStyle w:val="p00"/>
        <w:numPr>
          <w:ilvl w:val="0"/>
          <w:numId w:val="2"/>
        </w:numPr>
        <w:bidi/>
        <w:spacing w:line="360" w:lineRule="auto"/>
        <w:jc w:val="both"/>
        <w:rPr>
          <w:rFonts w:ascii="David" w:hAnsi="David" w:cs="David"/>
          <w:rtl/>
        </w:rPr>
      </w:pPr>
      <w:r>
        <w:rPr>
          <w:rFonts w:ascii="David" w:hAnsi="David" w:cs="David"/>
          <w:rtl/>
        </w:rPr>
        <w:t>בהמשך, העוררים מבקשים להטיל אחריות על המשיב בשל דליפת "הסוד" לציבור אשר הביאה לאפליה בין משקיעים</w:t>
      </w:r>
      <w:r w:rsidR="00F4119A">
        <w:rPr>
          <w:rFonts w:ascii="David" w:hAnsi="David" w:cs="David" w:hint="cs"/>
          <w:rtl/>
        </w:rPr>
        <w:t xml:space="preserve"> (</w:t>
      </w:r>
      <w:r w:rsidR="00816EC1">
        <w:rPr>
          <w:rFonts w:ascii="David" w:hAnsi="David" w:cs="David" w:hint="cs"/>
          <w:rtl/>
        </w:rPr>
        <w:t>ה</w:t>
      </w:r>
      <w:r w:rsidR="00F4119A">
        <w:rPr>
          <w:rFonts w:ascii="David" w:hAnsi="David" w:cs="David" w:hint="cs"/>
          <w:rtl/>
        </w:rPr>
        <w:t>פרסומים ב'כלכליסט' וב-'דה- מרקר')</w:t>
      </w:r>
      <w:r>
        <w:rPr>
          <w:rFonts w:ascii="David" w:hAnsi="David" w:cs="David"/>
          <w:rtl/>
        </w:rPr>
        <w:t>. הטלת האחריות מת</w:t>
      </w:r>
      <w:r w:rsidR="004E37C8">
        <w:rPr>
          <w:rFonts w:ascii="David" w:hAnsi="David" w:cs="David"/>
          <w:rtl/>
        </w:rPr>
        <w:t>בקשת לטענתם, מאחר והמשיב והאחרא</w:t>
      </w:r>
      <w:r>
        <w:rPr>
          <w:rFonts w:ascii="David" w:hAnsi="David" w:cs="David"/>
          <w:rtl/>
        </w:rPr>
        <w:t xml:space="preserve">ים עליו התרשלו בשמירת הסוד והתנהלו </w:t>
      </w:r>
      <w:r>
        <w:rPr>
          <w:rFonts w:ascii="David" w:hAnsi="David" w:cs="David"/>
          <w:rtl/>
        </w:rPr>
        <w:lastRenderedPageBreak/>
        <w:t xml:space="preserve">במחדל מקום שלא פעלו לפרסום רשמי אודות </w:t>
      </w:r>
      <w:r w:rsidR="00F4119A">
        <w:rPr>
          <w:rFonts w:ascii="David" w:hAnsi="David" w:cs="David" w:hint="cs"/>
          <w:rtl/>
        </w:rPr>
        <w:t>הכוונה לשנות את החקיקה</w:t>
      </w:r>
      <w:r>
        <w:rPr>
          <w:rFonts w:ascii="David" w:hAnsi="David" w:cs="David"/>
          <w:rtl/>
        </w:rPr>
        <w:t xml:space="preserve"> לאחר ההדלפה האמורה</w:t>
      </w:r>
      <w:r w:rsidR="002E7861">
        <w:rPr>
          <w:rFonts w:ascii="David" w:hAnsi="David" w:cs="David" w:hint="cs"/>
          <w:rtl/>
        </w:rPr>
        <w:t xml:space="preserve"> לתקשורת</w:t>
      </w:r>
      <w:r>
        <w:rPr>
          <w:rFonts w:ascii="David" w:hAnsi="David" w:cs="David"/>
          <w:rtl/>
        </w:rPr>
        <w:t>. כך לדברי העוררים: "הדלפה חסרת אחריות הובילה למצב של דיסאינפורמציה ואפליה".</w:t>
      </w:r>
      <w:r>
        <w:rPr>
          <w:rFonts w:ascii="David" w:hAnsi="David" w:hint="cs"/>
          <w:rtl/>
        </w:rPr>
        <w:t xml:space="preserve"> </w:t>
      </w:r>
    </w:p>
    <w:p w:rsidR="00264D90" w:rsidRDefault="00264D90" w:rsidP="00264D90">
      <w:pPr>
        <w:rPr>
          <w:rFonts w:ascii="David" w:hAnsi="David"/>
          <w:noProof w:val="0"/>
        </w:rPr>
      </w:pPr>
    </w:p>
    <w:p w:rsidR="00264D90" w:rsidRDefault="00264D90" w:rsidP="00264D90">
      <w:pPr>
        <w:pStyle w:val="ad"/>
        <w:numPr>
          <w:ilvl w:val="0"/>
          <w:numId w:val="2"/>
        </w:numPr>
        <w:spacing w:line="360" w:lineRule="auto"/>
        <w:jc w:val="both"/>
        <w:rPr>
          <w:rFonts w:ascii="David" w:hAnsi="David"/>
          <w:noProof w:val="0"/>
        </w:rPr>
      </w:pPr>
      <w:r>
        <w:rPr>
          <w:rFonts w:ascii="David" w:hAnsi="David"/>
          <w:noProof w:val="0"/>
          <w:rtl/>
        </w:rPr>
        <w:t xml:space="preserve">בהקשר זה, יפים דבריו של כב' השופט </w:t>
      </w:r>
      <w:r w:rsidR="00F4119A">
        <w:rPr>
          <w:rFonts w:ascii="David" w:hAnsi="David" w:hint="cs"/>
          <w:noProof w:val="0"/>
          <w:rtl/>
        </w:rPr>
        <w:t xml:space="preserve">ש' </w:t>
      </w:r>
      <w:r>
        <w:rPr>
          <w:rFonts w:ascii="David" w:hAnsi="David"/>
          <w:noProof w:val="0"/>
          <w:rtl/>
        </w:rPr>
        <w:t xml:space="preserve">בורנשטיין במסגרת הבקשה לאישור התובענה כייצוגית: </w:t>
      </w:r>
    </w:p>
    <w:p w:rsidR="00264D90" w:rsidRDefault="00264D90" w:rsidP="00264D90">
      <w:pPr>
        <w:pStyle w:val="ad"/>
        <w:ind w:left="1417"/>
        <w:rPr>
          <w:rFonts w:ascii="David" w:hAnsi="David"/>
          <w:b/>
          <w:bCs/>
          <w:noProof w:val="0"/>
          <w:rtl/>
        </w:rPr>
      </w:pPr>
    </w:p>
    <w:p w:rsidR="00264D90" w:rsidRDefault="00264D90" w:rsidP="00264D90">
      <w:pPr>
        <w:pStyle w:val="ad"/>
        <w:spacing w:line="360" w:lineRule="auto"/>
        <w:ind w:left="1417"/>
        <w:jc w:val="both"/>
        <w:rPr>
          <w:rFonts w:ascii="David" w:hAnsi="David"/>
          <w:b/>
          <w:bCs/>
          <w:noProof w:val="0"/>
        </w:rPr>
      </w:pPr>
      <w:r>
        <w:rPr>
          <w:rFonts w:ascii="David" w:hAnsi="David"/>
          <w:b/>
          <w:bCs/>
          <w:color w:val="000000"/>
          <w:shd w:val="clear" w:color="auto" w:fill="FFFFFF"/>
          <w:rtl/>
        </w:rPr>
        <w:t>"הגדרת המבקשים את הקבוצה ככוללת רוכשי דירות שבין יום 12.7.2020 ליום 29.7.2020 היא שרירותית, ואף בהפנייתם של המבקשים לידיעות שפורסמו באתרים "כלכליסט" ו"דה-מרקר" מיום 12.7.2020 אין כדי להועיל. משהוגדרה הקבוצה באופן שרירותי, נשמטת הקרקע תחת התנאי שעניינו קיום שאלות מהותיות משותפות לקבוצה</w:t>
      </w:r>
      <w:r>
        <w:rPr>
          <w:rFonts w:ascii="David" w:hAnsi="David"/>
          <w:b/>
          <w:bCs/>
          <w:color w:val="000000"/>
          <w:shd w:val="clear" w:color="auto" w:fill="FFFFFF"/>
        </w:rPr>
        <w:t>.</w:t>
      </w:r>
      <w:r>
        <w:rPr>
          <w:rFonts w:ascii="David" w:hAnsi="David"/>
          <w:b/>
          <w:bCs/>
          <w:noProof w:val="0"/>
          <w:rtl/>
        </w:rPr>
        <w:t xml:space="preserve"> </w:t>
      </w:r>
    </w:p>
    <w:p w:rsidR="00264D90" w:rsidRDefault="00264D90" w:rsidP="00264D90">
      <w:pPr>
        <w:pStyle w:val="ad"/>
        <w:spacing w:line="360" w:lineRule="auto"/>
        <w:ind w:left="1417"/>
        <w:jc w:val="both"/>
        <w:rPr>
          <w:rFonts w:ascii="David" w:hAnsi="David"/>
          <w:b/>
          <w:bCs/>
          <w:noProof w:val="0"/>
          <w:rtl/>
        </w:rPr>
      </w:pPr>
      <w:r>
        <w:rPr>
          <w:rFonts w:ascii="David" w:hAnsi="David"/>
          <w:b/>
          <w:bCs/>
          <w:noProof w:val="0"/>
          <w:rtl/>
        </w:rPr>
        <w:t>[...]</w:t>
      </w:r>
    </w:p>
    <w:p w:rsidR="00264D90" w:rsidRDefault="00264D90" w:rsidP="003427E5">
      <w:pPr>
        <w:pStyle w:val="ad"/>
        <w:spacing w:line="360" w:lineRule="auto"/>
        <w:ind w:left="1417"/>
        <w:jc w:val="both"/>
        <w:rPr>
          <w:rFonts w:ascii="David" w:hAnsi="David"/>
          <w:noProof w:val="0"/>
          <w:rtl/>
        </w:rPr>
      </w:pPr>
      <w:r>
        <w:rPr>
          <w:rFonts w:ascii="David" w:hAnsi="David"/>
          <w:b/>
          <w:bCs/>
          <w:color w:val="000000"/>
          <w:shd w:val="clear" w:color="auto" w:fill="FFFFFF"/>
          <w:rtl/>
        </w:rPr>
        <w:t xml:space="preserve">למעלה מן הצורך יש להוסיף, כי </w:t>
      </w:r>
      <w:r>
        <w:rPr>
          <w:rFonts w:ascii="David" w:hAnsi="David"/>
          <w:b/>
          <w:bCs/>
          <w:color w:val="000000"/>
          <w:u w:val="single"/>
          <w:shd w:val="clear" w:color="auto" w:fill="FFFFFF"/>
          <w:rtl/>
        </w:rPr>
        <w:t>לשון הידיעות העיתונאיות, עליהן ביקשו המבקשים להסתמך, ממילא אינן חד משמעיות ואין בהן אלא התייחסות לכוונה עתידית.</w:t>
      </w:r>
      <w:r>
        <w:rPr>
          <w:rFonts w:ascii="David" w:hAnsi="David"/>
          <w:b/>
          <w:bCs/>
          <w:color w:val="000000"/>
          <w:shd w:val="clear" w:color="auto" w:fill="FFFFFF"/>
          <w:rtl/>
        </w:rPr>
        <w:t xml:space="preserve"> כך, נכתב במקום אחד </w:t>
      </w:r>
      <w:r w:rsidR="003427E5">
        <w:rPr>
          <w:rFonts w:ascii="David" w:hAnsi="David" w:hint="cs"/>
          <w:b/>
          <w:bCs/>
          <w:color w:val="000000"/>
          <w:shd w:val="clear" w:color="auto" w:fill="FFFFFF"/>
          <w:rtl/>
        </w:rPr>
        <w:t>כי "</w:t>
      </w:r>
      <w:r>
        <w:rPr>
          <w:rFonts w:ascii="David" w:hAnsi="David"/>
          <w:b/>
          <w:bCs/>
          <w:color w:val="000000"/>
          <w:shd w:val="clear" w:color="auto" w:fill="FFFFFF"/>
          <w:rtl/>
        </w:rPr>
        <w:t>שר האוצר מתכוון לאשר השבוע בממשלה את הפחתת מס הרכישה למשקיעי הדירות בחזרה ל-5%</w:t>
      </w:r>
      <w:r w:rsidR="003427E5">
        <w:rPr>
          <w:rFonts w:ascii="David" w:hAnsi="David" w:hint="cs"/>
          <w:b/>
          <w:bCs/>
          <w:color w:val="000000"/>
          <w:shd w:val="clear" w:color="auto" w:fill="FFFFFF"/>
          <w:rtl/>
        </w:rPr>
        <w:t>"</w:t>
      </w:r>
      <w:r w:rsidR="003427E5">
        <w:rPr>
          <w:rFonts w:ascii="David" w:hAnsi="David"/>
          <w:b/>
          <w:bCs/>
          <w:color w:val="000000"/>
          <w:shd w:val="clear" w:color="auto" w:fill="FFFFFF"/>
        </w:rPr>
        <w:t>)</w:t>
      </w:r>
      <w:r>
        <w:rPr>
          <w:rFonts w:ascii="David" w:hAnsi="David"/>
          <w:b/>
          <w:bCs/>
          <w:color w:val="000000"/>
          <w:shd w:val="clear" w:color="auto" w:fill="FFFFFF"/>
        </w:rPr>
        <w:t> </w:t>
      </w:r>
      <w:r>
        <w:rPr>
          <w:rFonts w:ascii="David" w:hAnsi="David"/>
          <w:b/>
          <w:bCs/>
          <w:color w:val="000000"/>
          <w:shd w:val="clear" w:color="auto" w:fill="FFFFFF"/>
          <w:rtl/>
        </w:rPr>
        <w:t>מתוך "כלכליסט", נספח 13 לבקשת האישור), ואילו במקום אחר נכתב כי</w:t>
      </w:r>
      <w:r w:rsidR="003427E5">
        <w:rPr>
          <w:rFonts w:ascii="David" w:hAnsi="David"/>
          <w:b/>
          <w:bCs/>
          <w:color w:val="000000"/>
          <w:shd w:val="clear" w:color="auto" w:fill="FFFFFF"/>
        </w:rPr>
        <w:t>"</w:t>
      </w:r>
      <w:r>
        <w:rPr>
          <w:rFonts w:ascii="David" w:hAnsi="David"/>
          <w:b/>
          <w:bCs/>
          <w:color w:val="000000"/>
          <w:shd w:val="clear" w:color="auto" w:fill="FFFFFF"/>
        </w:rPr>
        <w:t xml:space="preserve"> </w:t>
      </w:r>
      <w:r>
        <w:rPr>
          <w:rFonts w:ascii="David" w:hAnsi="David"/>
          <w:b/>
          <w:bCs/>
          <w:color w:val="000000"/>
          <w:shd w:val="clear" w:color="auto" w:fill="FFFFFF"/>
          <w:rtl/>
        </w:rPr>
        <w:t>שר האוצר החדש מבקש להחזיר את המשקיעים לשוק הדיור, ולהשיב את שיעורי המס לרמה שהיתה נהוגה לפני השינויים שערך השר הקודם</w:t>
      </w:r>
      <w:r>
        <w:rPr>
          <w:rFonts w:ascii="David" w:hAnsi="David"/>
          <w:b/>
          <w:bCs/>
          <w:color w:val="000000"/>
          <w:shd w:val="clear" w:color="auto" w:fill="FFFFFF"/>
        </w:rPr>
        <w:t>.... </w:t>
      </w:r>
      <w:r>
        <w:rPr>
          <w:rFonts w:ascii="David" w:hAnsi="David"/>
          <w:b/>
          <w:bCs/>
          <w:color w:val="000000"/>
          <w:shd w:val="clear" w:color="auto" w:fill="FFFFFF"/>
          <w:rtl/>
        </w:rPr>
        <w:t>אם יאושר המהלך שמקדם כ"ץ, הוראת השעה של כחלון </w:t>
      </w:r>
      <w:r>
        <w:rPr>
          <w:rFonts w:ascii="David" w:hAnsi="David"/>
          <w:b/>
          <w:bCs/>
          <w:color w:val="000000"/>
          <w:shd w:val="clear" w:color="auto" w:fill="FFFFFF"/>
        </w:rPr>
        <w:t>– </w:t>
      </w:r>
      <w:r>
        <w:rPr>
          <w:rFonts w:ascii="David" w:hAnsi="David"/>
          <w:b/>
          <w:bCs/>
          <w:color w:val="000000"/>
          <w:shd w:val="clear" w:color="auto" w:fill="FFFFFF"/>
          <w:rtl/>
        </w:rPr>
        <w:t>שאמורה היתה לפוג בסוף 2020- תקוצר בקרוב</w:t>
      </w:r>
      <w:r w:rsidR="003427E5">
        <w:rPr>
          <w:rFonts w:ascii="David" w:hAnsi="David" w:hint="cs"/>
          <w:b/>
          <w:bCs/>
          <w:color w:val="000000"/>
          <w:shd w:val="clear" w:color="auto" w:fill="FFFFFF"/>
          <w:rtl/>
        </w:rPr>
        <w:t>" (</w:t>
      </w:r>
      <w:r>
        <w:rPr>
          <w:rFonts w:ascii="David" w:hAnsi="David"/>
          <w:b/>
          <w:bCs/>
          <w:color w:val="000000"/>
          <w:shd w:val="clear" w:color="auto" w:fill="FFFFFF"/>
          <w:rtl/>
        </w:rPr>
        <w:t xml:space="preserve">מתוך "דה-מרקר", נספח 13 לבקשת האישור). </w:t>
      </w:r>
      <w:r>
        <w:rPr>
          <w:rFonts w:ascii="David" w:hAnsi="David"/>
          <w:b/>
          <w:bCs/>
          <w:color w:val="000000"/>
          <w:u w:val="single"/>
          <w:shd w:val="clear" w:color="auto" w:fill="FFFFFF"/>
          <w:rtl/>
        </w:rPr>
        <w:t>המבקש 1 עצמו הודה שלא היה מקום מבחינתו לראות באותן הידיעות מה-12.7.2020 כמידע אמין, אלא בגדר "שמועות" בלבד</w:t>
      </w:r>
      <w:r>
        <w:rPr>
          <w:rFonts w:ascii="David" w:hAnsi="David"/>
          <w:b/>
          <w:bCs/>
          <w:color w:val="000000"/>
          <w:shd w:val="clear" w:color="auto" w:fill="FFFFFF"/>
          <w:rtl/>
        </w:rPr>
        <w:t xml:space="preserve"> (ראו עדות המבקש 1 בפרוטוקול הדיון מיום 3.7.2023 עמ' 8 ש' 16-20). משכך, הסתמכותם של המבקשים על נקודת זמן ספציפית זו ועל אותם שני פרסומים כ"צומת קבלת ההחלטות", היא שרירותית וסתמית. </w:t>
      </w:r>
      <w:r>
        <w:rPr>
          <w:rFonts w:ascii="David" w:hAnsi="David"/>
          <w:b/>
          <w:bCs/>
          <w:color w:val="000000"/>
          <w:shd w:val="clear" w:color="auto" w:fill="FFFFFF"/>
          <w:rtl/>
        </w:rPr>
        <w:lastRenderedPageBreak/>
        <w:t>טענתם, כי</w:t>
      </w:r>
      <w:r>
        <w:rPr>
          <w:rFonts w:ascii="David" w:hAnsi="David"/>
          <w:b/>
          <w:bCs/>
          <w:color w:val="008080"/>
          <w:sz w:val="22"/>
          <w:szCs w:val="22"/>
          <w:shd w:val="clear" w:color="auto" w:fill="FFFFFF"/>
        </w:rPr>
        <w:t xml:space="preserve"> </w:t>
      </w:r>
      <w:r>
        <w:rPr>
          <w:rFonts w:ascii="David" w:hAnsi="David"/>
          <w:b/>
          <w:bCs/>
          <w:color w:val="000000"/>
          <w:shd w:val="clear" w:color="auto" w:fill="FFFFFF"/>
          <w:rtl/>
        </w:rPr>
        <w:t>בדיעבד היו צריכים להמתין עם ביצוע העסקה, הינה, על פניה, בבחינת "חוכמה בדיעבד</w:t>
      </w:r>
      <w:r>
        <w:rPr>
          <w:rFonts w:ascii="David" w:hAnsi="David"/>
          <w:b/>
          <w:bCs/>
          <w:color w:val="000000"/>
          <w:shd w:val="clear" w:color="auto" w:fill="FFFFFF"/>
        </w:rPr>
        <w:t>"</w:t>
      </w:r>
      <w:r>
        <w:rPr>
          <w:rFonts w:ascii="David" w:hAnsi="David"/>
          <w:color w:val="000000"/>
          <w:shd w:val="clear" w:color="auto" w:fill="FFFFFF"/>
        </w:rPr>
        <w:t>.</w:t>
      </w:r>
      <w:r>
        <w:rPr>
          <w:rFonts w:ascii="David" w:hAnsi="David"/>
          <w:noProof w:val="0"/>
          <w:rtl/>
        </w:rPr>
        <w:t xml:space="preserve"> (</w:t>
      </w:r>
      <w:r w:rsidR="00D25B43">
        <w:rPr>
          <w:rFonts w:ascii="David" w:hAnsi="David" w:hint="cs"/>
          <w:noProof w:val="0"/>
          <w:rtl/>
        </w:rPr>
        <w:t xml:space="preserve">פסקאות 22 ו-48, </w:t>
      </w:r>
      <w:r>
        <w:rPr>
          <w:rFonts w:ascii="David" w:hAnsi="David"/>
          <w:noProof w:val="0"/>
          <w:rtl/>
        </w:rPr>
        <w:t>ההדגשות אינן במקור)</w:t>
      </w:r>
    </w:p>
    <w:p w:rsidR="00264D90" w:rsidRDefault="00264D90" w:rsidP="00264D90">
      <w:pPr>
        <w:spacing w:line="360" w:lineRule="auto"/>
        <w:jc w:val="both"/>
        <w:rPr>
          <w:rFonts w:ascii="David" w:hAnsi="David"/>
          <w:noProof w:val="0"/>
          <w:rtl/>
        </w:rPr>
      </w:pPr>
    </w:p>
    <w:p w:rsidR="00264D90" w:rsidRDefault="00264D90" w:rsidP="004E37C8">
      <w:pPr>
        <w:pStyle w:val="ad"/>
        <w:numPr>
          <w:ilvl w:val="0"/>
          <w:numId w:val="2"/>
        </w:numPr>
        <w:spacing w:line="360" w:lineRule="auto"/>
        <w:jc w:val="both"/>
        <w:rPr>
          <w:rFonts w:ascii="David" w:hAnsi="David"/>
          <w:noProof w:val="0"/>
        </w:rPr>
      </w:pPr>
      <w:r w:rsidRPr="003427E5">
        <w:rPr>
          <w:rFonts w:ascii="David" w:hAnsi="David"/>
          <w:noProof w:val="0"/>
          <w:rtl/>
        </w:rPr>
        <w:t>דבר ידוע בבחינת דרכו של עולם הוא כי הקשרים כלכליים ותכניות מיסוי שונות של המדינה, מוצא</w:t>
      </w:r>
      <w:r w:rsidR="004E37C8">
        <w:rPr>
          <w:rFonts w:ascii="David" w:hAnsi="David" w:hint="cs"/>
          <w:noProof w:val="0"/>
          <w:rtl/>
        </w:rPr>
        <w:t>ים</w:t>
      </w:r>
      <w:r w:rsidR="004E37C8">
        <w:rPr>
          <w:rFonts w:ascii="David" w:hAnsi="David"/>
          <w:noProof w:val="0"/>
          <w:rtl/>
        </w:rPr>
        <w:t xml:space="preserve"> דרכ</w:t>
      </w:r>
      <w:r w:rsidR="004E37C8">
        <w:rPr>
          <w:rFonts w:ascii="David" w:hAnsi="David" w:hint="cs"/>
          <w:noProof w:val="0"/>
          <w:rtl/>
        </w:rPr>
        <w:t>ם</w:t>
      </w:r>
      <w:r w:rsidRPr="003427E5">
        <w:rPr>
          <w:rFonts w:ascii="David" w:hAnsi="David"/>
          <w:noProof w:val="0"/>
          <w:rtl/>
        </w:rPr>
        <w:t xml:space="preserve"> לתקשורת ולאוזני הציבור</w:t>
      </w:r>
      <w:r w:rsidR="002E7861" w:rsidRPr="003427E5">
        <w:rPr>
          <w:rFonts w:ascii="David" w:hAnsi="David" w:hint="cs"/>
          <w:noProof w:val="0"/>
          <w:rtl/>
        </w:rPr>
        <w:t xml:space="preserve"> </w:t>
      </w:r>
      <w:r w:rsidRPr="003427E5">
        <w:rPr>
          <w:rFonts w:ascii="David" w:hAnsi="David"/>
          <w:noProof w:val="0"/>
          <w:rtl/>
        </w:rPr>
        <w:t>בדרכים כאלו ואחרות</w:t>
      </w:r>
      <w:r w:rsidR="009F65DC">
        <w:rPr>
          <w:rFonts w:ascii="David" w:hAnsi="David" w:hint="cs"/>
          <w:noProof w:val="0"/>
          <w:rtl/>
        </w:rPr>
        <w:t xml:space="preserve">. </w:t>
      </w:r>
      <w:r w:rsidRPr="003427E5">
        <w:rPr>
          <w:rFonts w:ascii="David" w:hAnsi="David"/>
          <w:noProof w:val="0"/>
          <w:rtl/>
        </w:rPr>
        <w:t>ברי כי הדבר לא מחיל חובה לפתחה של הרשות לנהוג בהתאם ל"פרסומים" בדבר הליכים מתוכ</w:t>
      </w:r>
      <w:r w:rsidR="003427E5" w:rsidRPr="003427E5">
        <w:rPr>
          <w:rFonts w:ascii="David" w:hAnsi="David" w:hint="cs"/>
          <w:noProof w:val="0"/>
          <w:rtl/>
        </w:rPr>
        <w:t>נ</w:t>
      </w:r>
      <w:r w:rsidRPr="003427E5">
        <w:rPr>
          <w:rFonts w:ascii="David" w:hAnsi="David"/>
          <w:noProof w:val="0"/>
          <w:rtl/>
        </w:rPr>
        <w:t>נים ולחילופין</w:t>
      </w:r>
      <w:r w:rsidR="009F65DC">
        <w:rPr>
          <w:rFonts w:ascii="David" w:hAnsi="David" w:hint="cs"/>
          <w:noProof w:val="0"/>
          <w:rtl/>
        </w:rPr>
        <w:t>,</w:t>
      </w:r>
      <w:r w:rsidRPr="003427E5">
        <w:rPr>
          <w:rFonts w:ascii="David" w:hAnsi="David"/>
          <w:noProof w:val="0"/>
          <w:rtl/>
        </w:rPr>
        <w:t xml:space="preserve"> ליישב דיסאינפורמציה שנוצרת בקרב הציבור "המיודע". </w:t>
      </w:r>
    </w:p>
    <w:p w:rsidR="003427E5" w:rsidRPr="003427E5" w:rsidRDefault="003427E5" w:rsidP="003427E5">
      <w:pPr>
        <w:pStyle w:val="ad"/>
        <w:spacing w:line="360" w:lineRule="auto"/>
        <w:jc w:val="both"/>
        <w:rPr>
          <w:rFonts w:ascii="David" w:hAnsi="David"/>
          <w:noProof w:val="0"/>
          <w:rtl/>
        </w:rPr>
      </w:pPr>
    </w:p>
    <w:p w:rsidR="00264D90" w:rsidRDefault="00264D90" w:rsidP="00DE6351">
      <w:pPr>
        <w:pStyle w:val="ad"/>
        <w:numPr>
          <w:ilvl w:val="0"/>
          <w:numId w:val="2"/>
        </w:numPr>
        <w:spacing w:line="360" w:lineRule="auto"/>
        <w:jc w:val="both"/>
        <w:rPr>
          <w:rFonts w:ascii="David" w:hAnsi="David"/>
        </w:rPr>
      </w:pPr>
      <w:r w:rsidRPr="003427E5">
        <w:rPr>
          <w:rFonts w:ascii="David" w:hAnsi="David"/>
          <w:noProof w:val="0"/>
          <w:rtl/>
        </w:rPr>
        <w:t>משמדובר בפרסומים שנעשו בצינורות לא רשמיים</w:t>
      </w:r>
      <w:r w:rsidR="003427E5" w:rsidRPr="003427E5">
        <w:rPr>
          <w:rFonts w:ascii="David" w:hAnsi="David" w:hint="cs"/>
          <w:noProof w:val="0"/>
          <w:rtl/>
        </w:rPr>
        <w:t>,</w:t>
      </w:r>
      <w:r w:rsidRPr="003427E5">
        <w:rPr>
          <w:rFonts w:ascii="David" w:hAnsi="David"/>
          <w:noProof w:val="0"/>
          <w:rtl/>
        </w:rPr>
        <w:t xml:space="preserve"> טענת העוררים כי התנהלות המשיב הובילה לאפליה בין שווים</w:t>
      </w:r>
      <w:r w:rsidR="003427E5" w:rsidRPr="003427E5">
        <w:rPr>
          <w:rFonts w:ascii="David" w:hAnsi="David" w:hint="cs"/>
          <w:noProof w:val="0"/>
          <w:rtl/>
        </w:rPr>
        <w:t>,</w:t>
      </w:r>
      <w:r w:rsidR="003427E5" w:rsidRPr="003427E5">
        <w:rPr>
          <w:rFonts w:ascii="David" w:hAnsi="David"/>
          <w:noProof w:val="0"/>
          <w:rtl/>
        </w:rPr>
        <w:t xml:space="preserve"> </w:t>
      </w:r>
      <w:r w:rsidR="003427E5" w:rsidRPr="003427E5">
        <w:rPr>
          <w:rFonts w:ascii="David" w:hAnsi="David" w:hint="cs"/>
          <w:noProof w:val="0"/>
          <w:rtl/>
        </w:rPr>
        <w:t xml:space="preserve">הינה </w:t>
      </w:r>
      <w:r w:rsidRPr="003427E5">
        <w:rPr>
          <w:rFonts w:ascii="David" w:hAnsi="David"/>
          <w:noProof w:val="0"/>
          <w:rtl/>
        </w:rPr>
        <w:t xml:space="preserve">בלתי סבירה בנסיבות העניין. </w:t>
      </w:r>
    </w:p>
    <w:p w:rsidR="003427E5" w:rsidRPr="003427E5" w:rsidRDefault="003427E5" w:rsidP="003427E5">
      <w:pPr>
        <w:spacing w:line="360" w:lineRule="auto"/>
        <w:jc w:val="both"/>
        <w:rPr>
          <w:rFonts w:ascii="David" w:hAnsi="David"/>
          <w:rtl/>
        </w:rPr>
      </w:pPr>
    </w:p>
    <w:p w:rsidR="00264D90" w:rsidRDefault="00264D90" w:rsidP="00264D90">
      <w:pPr>
        <w:rPr>
          <w:rFonts w:ascii="David" w:hAnsi="David"/>
          <w:noProof w:val="0"/>
          <w:u w:val="single"/>
        </w:rPr>
      </w:pPr>
      <w:r>
        <w:rPr>
          <w:rFonts w:ascii="David" w:hAnsi="David"/>
          <w:noProof w:val="0"/>
          <w:u w:val="single"/>
          <w:rtl/>
        </w:rPr>
        <w:t>פגיעה בעקרון ההסתמכות</w:t>
      </w:r>
    </w:p>
    <w:p w:rsidR="00264D90" w:rsidRDefault="00264D90" w:rsidP="003427E5">
      <w:pPr>
        <w:pStyle w:val="ad"/>
        <w:numPr>
          <w:ilvl w:val="0"/>
          <w:numId w:val="2"/>
        </w:numPr>
        <w:spacing w:line="360" w:lineRule="auto"/>
        <w:jc w:val="both"/>
        <w:rPr>
          <w:rFonts w:ascii="David" w:hAnsi="David"/>
          <w:noProof w:val="0"/>
        </w:rPr>
      </w:pPr>
      <w:r>
        <w:rPr>
          <w:rFonts w:ascii="David" w:hAnsi="David"/>
          <w:noProof w:val="0"/>
          <w:rtl/>
        </w:rPr>
        <w:t xml:space="preserve">טענת העוררים המרכזית הייתה כי בהיעדר פרסום </w:t>
      </w:r>
      <w:r w:rsidR="003427E5">
        <w:rPr>
          <w:rFonts w:ascii="David" w:hAnsi="David" w:hint="cs"/>
          <w:noProof w:val="0"/>
          <w:rtl/>
        </w:rPr>
        <w:t>באמצעות אגף הדוברות</w:t>
      </w:r>
      <w:r>
        <w:rPr>
          <w:rFonts w:ascii="David" w:hAnsi="David"/>
          <w:noProof w:val="0"/>
          <w:rtl/>
        </w:rPr>
        <w:t xml:space="preserve"> על כוונה לבטל את הוראת השעה, נפגעה הסתמכותם שזו לא תבוטל.</w:t>
      </w:r>
    </w:p>
    <w:p w:rsidR="00264D90" w:rsidRDefault="00264D90" w:rsidP="00264D90">
      <w:pPr>
        <w:pStyle w:val="ad"/>
        <w:spacing w:line="360" w:lineRule="auto"/>
        <w:jc w:val="both"/>
        <w:rPr>
          <w:rFonts w:ascii="David" w:hAnsi="David"/>
          <w:noProof w:val="0"/>
        </w:rPr>
      </w:pPr>
    </w:p>
    <w:p w:rsidR="00264D90" w:rsidRDefault="00264D90" w:rsidP="00D97E8F">
      <w:pPr>
        <w:pStyle w:val="ad"/>
        <w:numPr>
          <w:ilvl w:val="0"/>
          <w:numId w:val="2"/>
        </w:numPr>
        <w:spacing w:line="360" w:lineRule="auto"/>
        <w:jc w:val="both"/>
        <w:rPr>
          <w:rFonts w:ascii="David" w:hAnsi="David"/>
          <w:noProof w:val="0"/>
          <w:rtl/>
        </w:rPr>
      </w:pPr>
      <w:r>
        <w:rPr>
          <w:rFonts w:ascii="David" w:hAnsi="David"/>
          <w:noProof w:val="0"/>
          <w:rtl/>
        </w:rPr>
        <w:t>כאמור, הקביעה כי ביטול דין איננו משפיע על פעולו</w:t>
      </w:r>
      <w:r w:rsidR="00D97E8F">
        <w:rPr>
          <w:rFonts w:ascii="David" w:hAnsi="David"/>
          <w:noProof w:val="0"/>
          <w:rtl/>
        </w:rPr>
        <w:t>ת באופן רטרואקטיבי מעוגנת בפסיק</w:t>
      </w:r>
      <w:r>
        <w:rPr>
          <w:rFonts w:ascii="David" w:hAnsi="David"/>
          <w:noProof w:val="0"/>
          <w:rtl/>
        </w:rPr>
        <w:t xml:space="preserve">ת בית המשפט העליון, </w:t>
      </w:r>
      <w:r w:rsidR="00D97E8F">
        <w:rPr>
          <w:rFonts w:ascii="David" w:hAnsi="David" w:hint="cs"/>
          <w:noProof w:val="0"/>
          <w:rtl/>
        </w:rPr>
        <w:t>כדוגמת</w:t>
      </w:r>
      <w:r>
        <w:rPr>
          <w:rFonts w:ascii="David" w:hAnsi="David"/>
          <w:noProof w:val="0"/>
          <w:rtl/>
        </w:rPr>
        <w:t xml:space="preserve"> פסק הדין בבג"ץ 9098/01 </w:t>
      </w:r>
      <w:r>
        <w:rPr>
          <w:rFonts w:ascii="David" w:hAnsi="David"/>
          <w:b/>
          <w:bCs/>
          <w:noProof w:val="0"/>
          <w:rtl/>
        </w:rPr>
        <w:t>גניס נ' משרד הבינוי והשיכון</w:t>
      </w:r>
      <w:r>
        <w:rPr>
          <w:rFonts w:ascii="David" w:hAnsi="David"/>
          <w:noProof w:val="0"/>
          <w:rtl/>
        </w:rPr>
        <w:t xml:space="preserve">, נט(4) 241 (2004) </w:t>
      </w:r>
      <w:r w:rsidR="00D97E8F">
        <w:rPr>
          <w:rFonts w:ascii="David" w:hAnsi="David" w:hint="cs"/>
          <w:noProof w:val="0"/>
          <w:rtl/>
        </w:rPr>
        <w:t>אליו התייחסו</w:t>
      </w:r>
      <w:r>
        <w:rPr>
          <w:rFonts w:ascii="David" w:hAnsi="David"/>
          <w:noProof w:val="0"/>
          <w:rtl/>
        </w:rPr>
        <w:t xml:space="preserve"> הצדדים (להלן: "</w:t>
      </w:r>
      <w:r>
        <w:rPr>
          <w:rFonts w:ascii="David" w:hAnsi="David"/>
          <w:b/>
          <w:bCs/>
          <w:noProof w:val="0"/>
          <w:rtl/>
        </w:rPr>
        <w:t>עניין גניס</w:t>
      </w:r>
      <w:r>
        <w:rPr>
          <w:rFonts w:ascii="David" w:hAnsi="David"/>
          <w:noProof w:val="0"/>
          <w:rtl/>
        </w:rPr>
        <w:t xml:space="preserve">"). הסוגיה המרכזית שנדונה בפסק הדין הייתה חוקיותו של תיקון לחוק, שביטל באופן רטרואקטיבי ומפורש חוק שנחקק מספר חודשים קודם לכן המזכה במענק </w:t>
      </w:r>
      <w:r>
        <w:rPr>
          <w:rFonts w:ascii="David" w:hAnsi="David"/>
          <w:noProof w:val="0"/>
          <w:rtl/>
        </w:rPr>
        <w:lastRenderedPageBreak/>
        <w:t xml:space="preserve">אזרחים שרכשו דירה בירושלים. נקבע כי יש להחיל על אותם אזרחים שהסתמכו על החוק ופעלו על פיו, את החוק במתכונתו המקורית אשר זיכה אותם במענק. </w:t>
      </w:r>
    </w:p>
    <w:p w:rsidR="00264D90" w:rsidRDefault="00264D90" w:rsidP="00264D90">
      <w:pPr>
        <w:pStyle w:val="ad"/>
        <w:rPr>
          <w:rFonts w:ascii="David" w:hAnsi="David"/>
          <w:noProof w:val="0"/>
        </w:rPr>
      </w:pPr>
    </w:p>
    <w:p w:rsidR="00264D90" w:rsidRDefault="00264D90" w:rsidP="00D97E8F">
      <w:pPr>
        <w:pStyle w:val="ad"/>
        <w:numPr>
          <w:ilvl w:val="0"/>
          <w:numId w:val="2"/>
        </w:numPr>
        <w:spacing w:line="360" w:lineRule="auto"/>
        <w:jc w:val="both"/>
        <w:rPr>
          <w:rFonts w:ascii="David" w:hAnsi="David"/>
          <w:noProof w:val="0"/>
        </w:rPr>
      </w:pPr>
      <w:r>
        <w:rPr>
          <w:rFonts w:ascii="David" w:hAnsi="David"/>
          <w:noProof w:val="0"/>
          <w:rtl/>
        </w:rPr>
        <w:t xml:space="preserve">פסיקת בית המשפט העליון </w:t>
      </w:r>
      <w:r>
        <w:rPr>
          <w:rFonts w:ascii="David" w:hAnsi="David"/>
          <w:b/>
          <w:bCs/>
          <w:noProof w:val="0"/>
          <w:rtl/>
        </w:rPr>
        <w:t>בעניין גניס</w:t>
      </w:r>
      <w:r>
        <w:rPr>
          <w:rFonts w:ascii="David" w:hAnsi="David"/>
          <w:noProof w:val="0"/>
          <w:rtl/>
        </w:rPr>
        <w:t xml:space="preserve"> הושתתה על נימוקים שונים</w:t>
      </w:r>
      <w:r w:rsidR="00D97E8F">
        <w:rPr>
          <w:rFonts w:ascii="David" w:hAnsi="David" w:hint="cs"/>
          <w:noProof w:val="0"/>
          <w:rtl/>
        </w:rPr>
        <w:t>.</w:t>
      </w:r>
      <w:r>
        <w:rPr>
          <w:rFonts w:ascii="David" w:hAnsi="David"/>
          <w:noProof w:val="0"/>
          <w:rtl/>
        </w:rPr>
        <w:t xml:space="preserve"> דרך ההנמקה של </w:t>
      </w:r>
      <w:r w:rsidR="00D97E8F">
        <w:rPr>
          <w:rFonts w:ascii="David" w:hAnsi="David" w:hint="cs"/>
          <w:noProof w:val="0"/>
          <w:rtl/>
        </w:rPr>
        <w:t xml:space="preserve">כב' </w:t>
      </w:r>
      <w:r>
        <w:rPr>
          <w:rFonts w:ascii="David" w:hAnsi="David"/>
          <w:noProof w:val="0"/>
          <w:rtl/>
        </w:rPr>
        <w:t xml:space="preserve">השופט </w:t>
      </w:r>
      <w:r w:rsidR="00D97E8F">
        <w:rPr>
          <w:rFonts w:ascii="David" w:hAnsi="David" w:hint="cs"/>
          <w:noProof w:val="0"/>
          <w:rtl/>
        </w:rPr>
        <w:t xml:space="preserve">מ' </w:t>
      </w:r>
      <w:r>
        <w:rPr>
          <w:rFonts w:ascii="David" w:hAnsi="David"/>
          <w:noProof w:val="0"/>
          <w:rtl/>
        </w:rPr>
        <w:t>חשין נסבה על פרשנות הוראת החוק באופן שלא תפגע במי שכבר הסתמך על החוק, בעוד</w:t>
      </w:r>
      <w:r w:rsidR="00D97E8F">
        <w:rPr>
          <w:rFonts w:ascii="David" w:hAnsi="David" w:hint="cs"/>
          <w:noProof w:val="0"/>
          <w:rtl/>
        </w:rPr>
        <w:t xml:space="preserve"> כב'</w:t>
      </w:r>
      <w:r>
        <w:rPr>
          <w:rFonts w:ascii="David" w:hAnsi="David"/>
          <w:noProof w:val="0"/>
          <w:rtl/>
        </w:rPr>
        <w:t xml:space="preserve"> השופט </w:t>
      </w:r>
      <w:r w:rsidR="00D97E8F">
        <w:rPr>
          <w:rFonts w:ascii="David" w:hAnsi="David" w:hint="cs"/>
          <w:noProof w:val="0"/>
          <w:rtl/>
        </w:rPr>
        <w:t xml:space="preserve">א' </w:t>
      </w:r>
      <w:r>
        <w:rPr>
          <w:rFonts w:ascii="David" w:hAnsi="David"/>
          <w:noProof w:val="0"/>
          <w:rtl/>
        </w:rPr>
        <w:t xml:space="preserve">מצא קבע כי התחולה תבוטל ביחס לאזרחים שהסתמכו על החוק, מאחר והפגיעה בהם אינה מידתית לאור שינוי מצבם לרעה. כך בלשון </w:t>
      </w:r>
      <w:r w:rsidR="00D97E8F">
        <w:rPr>
          <w:rFonts w:ascii="David" w:hAnsi="David" w:hint="cs"/>
          <w:noProof w:val="0"/>
          <w:rtl/>
        </w:rPr>
        <w:t>כב' השופט חשין</w:t>
      </w:r>
      <w:r>
        <w:rPr>
          <w:rFonts w:ascii="David" w:hAnsi="David"/>
          <w:noProof w:val="0"/>
          <w:rtl/>
        </w:rPr>
        <w:t>:</w:t>
      </w:r>
    </w:p>
    <w:p w:rsidR="00264D90" w:rsidRDefault="00264D90" w:rsidP="00264D90">
      <w:pPr>
        <w:pStyle w:val="ad"/>
        <w:rPr>
          <w:rFonts w:ascii="David" w:hAnsi="David"/>
          <w:noProof w:val="0"/>
          <w:rtl/>
        </w:rPr>
      </w:pPr>
    </w:p>
    <w:p w:rsidR="00264D90" w:rsidRDefault="00264D90" w:rsidP="00264D90">
      <w:pPr>
        <w:pStyle w:val="ae"/>
        <w:shd w:val="clear" w:color="auto" w:fill="FFFFFF"/>
        <w:bidi/>
        <w:spacing w:before="0" w:beforeAutospacing="0" w:after="240" w:afterAutospacing="0" w:line="360" w:lineRule="auto"/>
        <w:ind w:left="1417"/>
        <w:jc w:val="both"/>
        <w:rPr>
          <w:rFonts w:ascii="David" w:hAnsi="David" w:cs="David"/>
          <w:b/>
          <w:bCs/>
          <w:color w:val="000000"/>
        </w:rPr>
      </w:pPr>
      <w:r>
        <w:rPr>
          <w:rFonts w:ascii="David" w:hAnsi="David" w:cs="David"/>
          <w:b/>
          <w:bCs/>
          <w:color w:val="000000"/>
          <w:rtl/>
        </w:rPr>
        <w:t xml:space="preserve">"עיקרי-מהות אלה מתרגמים עצמם לשפת הפרשנות, וכמסקנה נדרשת מכאן נדע כי התחולה מלמפרע של </w:t>
      </w:r>
      <w:r>
        <w:rPr>
          <w:rFonts w:ascii="David" w:hAnsi="David" w:cs="David"/>
          <w:b/>
          <w:bCs/>
          <w:rtl/>
        </w:rPr>
        <w:t>הוראת </w:t>
      </w:r>
      <w:hyperlink r:id="rId14" w:tgtFrame="blank" w:history="1">
        <w:r>
          <w:rPr>
            <w:rStyle w:val="Hyperlink"/>
            <w:rFonts w:ascii="David" w:hAnsi="David" w:cs="David"/>
            <w:b/>
            <w:bCs/>
            <w:rtl/>
          </w:rPr>
          <w:t>סעיף 20</w:t>
        </w:r>
      </w:hyperlink>
      <w:r>
        <w:rPr>
          <w:rFonts w:ascii="David" w:hAnsi="David" w:cs="David"/>
          <w:b/>
          <w:bCs/>
          <w:rtl/>
        </w:rPr>
        <w:t> ל</w:t>
      </w:r>
      <w:hyperlink r:id="rId15" w:tgtFrame="blank" w:history="1">
        <w:r>
          <w:rPr>
            <w:rStyle w:val="Hyperlink"/>
            <w:rFonts w:ascii="David" w:hAnsi="David" w:cs="David"/>
            <w:b/>
            <w:bCs/>
            <w:rtl/>
          </w:rPr>
          <w:t>חוק ההסדרים</w:t>
        </w:r>
      </w:hyperlink>
      <w:r>
        <w:rPr>
          <w:rFonts w:ascii="David" w:hAnsi="David" w:cs="David"/>
          <w:b/>
          <w:bCs/>
          <w:color w:val="000000"/>
          <w:rtl/>
        </w:rPr>
        <w:t xml:space="preserve"> לא יועדה מעיקרה – כמעט אמרנו: </w:t>
      </w:r>
      <w:r>
        <w:rPr>
          <w:rFonts w:ascii="David" w:hAnsi="David" w:cs="David"/>
          <w:b/>
          <w:bCs/>
          <w:color w:val="000000"/>
          <w:u w:val="single"/>
          <w:rtl/>
        </w:rPr>
        <w:t xml:space="preserve">אין בכוחה – לחול על מי שהסתמך על הבטחת המחוקק ושינה מצבו בעליל. </w:t>
      </w:r>
      <w:r>
        <w:rPr>
          <w:rFonts w:ascii="David" w:hAnsi="David" w:cs="David"/>
          <w:b/>
          <w:bCs/>
          <w:color w:val="000000"/>
          <w:rtl/>
        </w:rPr>
        <w:t>וכפי שכתבה השופטת שטרסברג-כהן ב</w:t>
      </w:r>
      <w:hyperlink r:id="rId16" w:tgtFrame="blank" w:history="1">
        <w:r>
          <w:rPr>
            <w:rStyle w:val="Hyperlink"/>
            <w:rFonts w:ascii="David" w:hAnsi="David" w:cs="David"/>
            <w:b/>
            <w:bCs/>
            <w:rtl/>
          </w:rPr>
          <w:t>בג"ץ 1149/95</w:t>
        </w:r>
      </w:hyperlink>
      <w:r>
        <w:rPr>
          <w:rFonts w:ascii="David" w:hAnsi="David" w:cs="David"/>
          <w:b/>
          <w:bCs/>
          <w:rtl/>
        </w:rPr>
        <w:t> א</w:t>
      </w:r>
      <w:r>
        <w:rPr>
          <w:rFonts w:ascii="David" w:hAnsi="David" w:cs="David"/>
          <w:b/>
          <w:bCs/>
          <w:color w:val="000000"/>
          <w:rtl/>
        </w:rPr>
        <w:t xml:space="preserve">רקו תעשיות חשמל בע"מ נ' ראש-עיריית ראשון לציון [9], בעמ' 574 לעניין שיקול ההסתמכות כשיקול הקובע בפסילת חקיקה רטרואקטיבית: </w:t>
      </w:r>
    </w:p>
    <w:p w:rsidR="00264D90" w:rsidRDefault="00264D90" w:rsidP="00264D90">
      <w:pPr>
        <w:pStyle w:val="ae"/>
        <w:shd w:val="clear" w:color="auto" w:fill="FFFFFF"/>
        <w:bidi/>
        <w:spacing w:before="0" w:beforeAutospacing="0" w:after="240" w:afterAutospacing="0" w:line="360" w:lineRule="auto"/>
        <w:ind w:left="1417"/>
        <w:jc w:val="both"/>
        <w:rPr>
          <w:rFonts w:ascii="David" w:hAnsi="David" w:cs="David"/>
          <w:color w:val="000000"/>
          <w:rtl/>
        </w:rPr>
      </w:pPr>
      <w:r>
        <w:rPr>
          <w:rFonts w:ascii="David" w:hAnsi="David" w:cs="David"/>
          <w:b/>
          <w:bCs/>
          <w:color w:val="000000"/>
          <w:u w:val="single"/>
          <w:rtl/>
        </w:rPr>
        <w:t>שיקול חשוב הוא קיום פגיעה בעצם ההסתמכות על החקיקה הקיימת ובמידת ההסתמכות עליה.</w:t>
      </w:r>
      <w:r>
        <w:rPr>
          <w:rFonts w:ascii="David" w:hAnsi="David" w:cs="David"/>
          <w:b/>
          <w:bCs/>
          <w:color w:val="000000"/>
          <w:rtl/>
        </w:rPr>
        <w:t xml:space="preserve"> לא הרי חקיקה רטרואקטיבית הפוגעת בהסתמכות כהרי חקיקה רטרואקטיבית שאיננה פוגעת בה כלל או בצורה משמעותית." </w:t>
      </w:r>
      <w:r>
        <w:rPr>
          <w:rFonts w:ascii="David" w:hAnsi="David" w:cs="David"/>
          <w:color w:val="000000"/>
          <w:rtl/>
        </w:rPr>
        <w:t>(פסקה 22 לפסק דינו של כב' השופט מ' חשין, ההדגשות אינן במקור)</w:t>
      </w:r>
    </w:p>
    <w:p w:rsidR="00264D90" w:rsidRDefault="00264D90" w:rsidP="00D97E8F">
      <w:pPr>
        <w:pStyle w:val="ae"/>
        <w:shd w:val="clear" w:color="auto" w:fill="FFFFFF"/>
        <w:bidi/>
        <w:spacing w:before="0" w:beforeAutospacing="0" w:after="240" w:afterAutospacing="0" w:line="360" w:lineRule="auto"/>
        <w:ind w:left="720"/>
        <w:jc w:val="both"/>
        <w:rPr>
          <w:rFonts w:ascii="David" w:hAnsi="David" w:cs="David"/>
          <w:rtl/>
        </w:rPr>
      </w:pPr>
      <w:r>
        <w:rPr>
          <w:rFonts w:ascii="David" w:hAnsi="David" w:cs="David"/>
          <w:color w:val="000000"/>
          <w:rtl/>
        </w:rPr>
        <w:t>ו</w:t>
      </w:r>
      <w:r w:rsidR="00D97E8F">
        <w:rPr>
          <w:rFonts w:ascii="David" w:hAnsi="David" w:cs="David" w:hint="cs"/>
          <w:color w:val="000000"/>
          <w:rtl/>
        </w:rPr>
        <w:t>כך בלשון כב' השופט מצא:</w:t>
      </w:r>
    </w:p>
    <w:p w:rsidR="00264D90" w:rsidRDefault="00264D90" w:rsidP="0061325C">
      <w:pPr>
        <w:pStyle w:val="ae"/>
        <w:shd w:val="clear" w:color="auto" w:fill="FFFFFF"/>
        <w:bidi/>
        <w:spacing w:before="0" w:beforeAutospacing="0" w:after="240" w:afterAutospacing="0" w:line="360" w:lineRule="auto"/>
        <w:ind w:left="1417"/>
        <w:jc w:val="both"/>
        <w:rPr>
          <w:rFonts w:ascii="David" w:hAnsi="David" w:cs="David"/>
          <w:color w:val="000000"/>
          <w:rtl/>
        </w:rPr>
      </w:pPr>
      <w:r>
        <w:rPr>
          <w:rFonts w:ascii="David" w:hAnsi="David" w:cs="David"/>
          <w:b/>
          <w:bCs/>
          <w:shd w:val="clear" w:color="auto" w:fill="FFFFFF"/>
          <w:rtl/>
        </w:rPr>
        <w:lastRenderedPageBreak/>
        <w:t>"נכון אני לקבל כי הפגיעה בקניינו של מי שלא שינה את מצבו לרעה בהסתמך על </w:t>
      </w:r>
      <w:hyperlink r:id="rId17" w:tgtFrame="blank" w:history="1">
        <w:r>
          <w:rPr>
            <w:rStyle w:val="Hyperlink"/>
            <w:rFonts w:ascii="David" w:hAnsi="David" w:cs="David"/>
            <w:b/>
            <w:bCs/>
            <w:shd w:val="clear" w:color="auto" w:fill="FFFFFF"/>
            <w:rtl/>
          </w:rPr>
          <w:t>החוק המזכה</w:t>
        </w:r>
      </w:hyperlink>
      <w:r>
        <w:rPr>
          <w:rFonts w:ascii="David" w:hAnsi="David" w:cs="David"/>
          <w:b/>
          <w:bCs/>
          <w:shd w:val="clear" w:color="auto" w:fill="FFFFFF"/>
        </w:rPr>
        <w:t> </w:t>
      </w:r>
      <w:r>
        <w:rPr>
          <w:rFonts w:ascii="David" w:hAnsi="David" w:cs="David"/>
          <w:b/>
          <w:bCs/>
          <w:shd w:val="clear" w:color="auto" w:fill="FFFFFF"/>
          <w:rtl/>
        </w:rPr>
        <w:t>עומדת בתנאי פיסקת ההגבלה </w:t>
      </w:r>
      <w:hyperlink r:id="rId18" w:tgtFrame="blank" w:history="1">
        <w:r>
          <w:rPr>
            <w:rStyle w:val="Hyperlink"/>
            <w:rFonts w:ascii="David" w:hAnsi="David" w:cs="David"/>
            <w:b/>
            <w:bCs/>
            <w:shd w:val="clear" w:color="auto" w:fill="FFFFFF"/>
            <w:rtl/>
          </w:rPr>
          <w:t>שבסעיף 8</w:t>
        </w:r>
      </w:hyperlink>
      <w:r>
        <w:rPr>
          <w:rFonts w:ascii="David" w:hAnsi="David" w:cs="David"/>
          <w:b/>
          <w:bCs/>
          <w:shd w:val="clear" w:color="auto" w:fill="FFFFFF"/>
        </w:rPr>
        <w:t> </w:t>
      </w:r>
      <w:r>
        <w:rPr>
          <w:rFonts w:ascii="David" w:hAnsi="David" w:cs="David"/>
          <w:b/>
          <w:bCs/>
          <w:shd w:val="clear" w:color="auto" w:fill="FFFFFF"/>
          <w:rtl/>
        </w:rPr>
        <w:t>ל</w:t>
      </w:r>
      <w:hyperlink r:id="rId19" w:tgtFrame="blank" w:history="1">
        <w:r>
          <w:rPr>
            <w:rStyle w:val="Hyperlink"/>
            <w:rFonts w:ascii="David" w:hAnsi="David" w:cs="David"/>
            <w:b/>
            <w:bCs/>
            <w:shd w:val="clear" w:color="auto" w:fill="FFFFFF"/>
            <w:rtl/>
          </w:rPr>
          <w:t>חוק היסוד</w:t>
        </w:r>
      </w:hyperlink>
      <w:r>
        <w:rPr>
          <w:rFonts w:ascii="David" w:hAnsi="David" w:cs="David"/>
          <w:b/>
          <w:bCs/>
          <w:shd w:val="clear" w:color="auto" w:fill="FFFFFF"/>
        </w:rPr>
        <w:t xml:space="preserve">, </w:t>
      </w:r>
      <w:r>
        <w:rPr>
          <w:rFonts w:ascii="David" w:hAnsi="David" w:cs="David"/>
          <w:b/>
          <w:bCs/>
          <w:shd w:val="clear" w:color="auto" w:fill="FFFFFF"/>
          <w:rtl/>
        </w:rPr>
        <w:t xml:space="preserve">לאמור: בהיעדר אינטרס לגיטימי של הסתמכות חזקה היא כי היד החקיקתית שנתנה רשאית גם לקחת, ובכך אין לראות משום פגם חוקתי. </w:t>
      </w:r>
      <w:r>
        <w:rPr>
          <w:rFonts w:ascii="David" w:hAnsi="David" w:cs="David"/>
          <w:b/>
          <w:bCs/>
          <w:u w:val="single"/>
          <w:shd w:val="clear" w:color="auto" w:fill="FFFFFF"/>
          <w:rtl/>
        </w:rPr>
        <w:t>לא כן הדבר בפגיעה במי שהסתמך על זכות הקניין האמורה ושינה את מצבו לרעה בעקבות </w:t>
      </w:r>
      <w:hyperlink r:id="rId20" w:tgtFrame="blank" w:history="1">
        <w:r>
          <w:rPr>
            <w:rStyle w:val="Hyperlink"/>
            <w:rFonts w:ascii="David" w:hAnsi="David" w:cs="David"/>
            <w:b/>
            <w:bCs/>
            <w:shd w:val="clear" w:color="auto" w:fill="FFFFFF"/>
            <w:rtl/>
          </w:rPr>
          <w:t>החוק המזכה</w:t>
        </w:r>
      </w:hyperlink>
      <w:r>
        <w:rPr>
          <w:rFonts w:ascii="David" w:hAnsi="David" w:cs="David"/>
          <w:b/>
          <w:bCs/>
          <w:shd w:val="clear" w:color="auto" w:fill="FFFFFF"/>
        </w:rPr>
        <w:t xml:space="preserve">. </w:t>
      </w:r>
      <w:r>
        <w:rPr>
          <w:rFonts w:ascii="David" w:hAnsi="David" w:cs="David"/>
          <w:b/>
          <w:bCs/>
          <w:shd w:val="clear" w:color="auto" w:fill="FFFFFF"/>
          <w:rtl/>
        </w:rPr>
        <w:t xml:space="preserve">גם אם נראה פגיעה זו כהולמת את ערכיה של מדינת ישראל וכמיועדת להשגתה של תכלית ראויה, </w:t>
      </w:r>
      <w:r>
        <w:rPr>
          <w:rFonts w:ascii="David" w:hAnsi="David" w:cs="David"/>
          <w:b/>
          <w:bCs/>
          <w:u w:val="single"/>
          <w:shd w:val="clear" w:color="auto" w:fill="FFFFFF"/>
          <w:rtl/>
        </w:rPr>
        <w:t>הרי שאין היא יכולה להיחשב לפגיעה מידתית. פגיעה מידתית בקניינו של מי שהסתמך על </w:t>
      </w:r>
      <w:hyperlink r:id="rId21" w:tgtFrame="blank" w:history="1">
        <w:r>
          <w:rPr>
            <w:rStyle w:val="Hyperlink"/>
            <w:rFonts w:ascii="David" w:hAnsi="David" w:cs="David"/>
            <w:b/>
            <w:bCs/>
            <w:shd w:val="clear" w:color="auto" w:fill="FFFFFF"/>
            <w:rtl/>
          </w:rPr>
          <w:t>החוק המזכה</w:t>
        </w:r>
      </w:hyperlink>
      <w:r>
        <w:rPr>
          <w:rFonts w:ascii="David" w:hAnsi="David" w:cs="David"/>
          <w:b/>
          <w:bCs/>
          <w:u w:val="single"/>
          <w:shd w:val="clear" w:color="auto" w:fill="FFFFFF"/>
        </w:rPr>
        <w:t> </w:t>
      </w:r>
      <w:r>
        <w:rPr>
          <w:rFonts w:ascii="David" w:hAnsi="David" w:cs="David"/>
          <w:b/>
          <w:bCs/>
          <w:u w:val="single"/>
          <w:shd w:val="clear" w:color="auto" w:fill="FFFFFF"/>
          <w:rtl/>
        </w:rPr>
        <w:t>חייבת הייתה, לכל הפחות, להתחשב בפראמטרים שונים הקשורים בהסתמכותו, כגון מידת הלגיטימיות של ההסתמכות, עוצמתה ואמות המידה להוכחתה</w:t>
      </w:r>
      <w:r>
        <w:rPr>
          <w:rFonts w:ascii="David" w:hAnsi="David" w:cs="David"/>
          <w:b/>
          <w:bCs/>
          <w:shd w:val="clear" w:color="auto" w:fill="FFFFFF"/>
          <w:rtl/>
        </w:rPr>
        <w:t>.</w:t>
      </w:r>
      <w:r>
        <w:rPr>
          <w:rFonts w:ascii="David" w:hAnsi="David" w:cs="David"/>
          <w:b/>
          <w:bCs/>
          <w:shd w:val="clear" w:color="auto" w:fill="FFFFFF"/>
        </w:rPr>
        <w:t> </w:t>
      </w:r>
      <w:hyperlink r:id="rId22" w:tgtFrame="blank" w:history="1">
        <w:r>
          <w:rPr>
            <w:rStyle w:val="Hyperlink"/>
            <w:rFonts w:ascii="David" w:hAnsi="David" w:cs="David"/>
            <w:b/>
            <w:bCs/>
            <w:shd w:val="clear" w:color="auto" w:fill="FFFFFF"/>
            <w:rtl/>
          </w:rPr>
          <w:t>החוק המתלה</w:t>
        </w:r>
      </w:hyperlink>
      <w:r>
        <w:rPr>
          <w:rFonts w:ascii="David" w:hAnsi="David" w:cs="David"/>
          <w:b/>
          <w:bCs/>
          <w:shd w:val="clear" w:color="auto" w:fill="FFFFFF"/>
        </w:rPr>
        <w:t> </w:t>
      </w:r>
      <w:r>
        <w:rPr>
          <w:rFonts w:ascii="David" w:hAnsi="David" w:cs="David"/>
          <w:b/>
          <w:bCs/>
          <w:shd w:val="clear" w:color="auto" w:fill="FFFFFF"/>
          <w:rtl/>
        </w:rPr>
        <w:t xml:space="preserve">אינו מתייחס כלל לשאלות אלה, וגם ממקורות חקיקתו אין עולה כי מחוקקיו </w:t>
      </w:r>
      <w:r>
        <w:rPr>
          <w:rFonts w:ascii="David" w:hAnsi="David" w:cs="David"/>
          <w:b/>
          <w:bCs/>
          <w:color w:val="000000"/>
          <w:shd w:val="clear" w:color="auto" w:fill="FFFFFF"/>
          <w:rtl/>
        </w:rPr>
        <w:t>נתנו עליהן את דעתם</w:t>
      </w:r>
      <w:r>
        <w:rPr>
          <w:rFonts w:ascii="David" w:hAnsi="David" w:cs="David"/>
          <w:b/>
          <w:bCs/>
          <w:color w:val="000000"/>
          <w:shd w:val="clear" w:color="auto" w:fill="FFFFFF"/>
        </w:rPr>
        <w:t>.</w:t>
      </w:r>
      <w:r>
        <w:rPr>
          <w:rFonts w:ascii="David" w:hAnsi="David" w:cs="David"/>
          <w:b/>
          <w:bCs/>
          <w:color w:val="000000"/>
          <w:rtl/>
        </w:rPr>
        <w:t xml:space="preserve">" </w:t>
      </w:r>
      <w:r w:rsidR="0061325C">
        <w:rPr>
          <w:rFonts w:ascii="David" w:hAnsi="David" w:cs="David"/>
          <w:color w:val="000000"/>
          <w:rtl/>
        </w:rPr>
        <w:t>(</w:t>
      </w:r>
      <w:r w:rsidR="0061325C">
        <w:rPr>
          <w:rFonts w:ascii="David" w:hAnsi="David" w:cs="David" w:hint="cs"/>
          <w:color w:val="000000"/>
          <w:rtl/>
        </w:rPr>
        <w:t xml:space="preserve">מתוך </w:t>
      </w:r>
      <w:r>
        <w:rPr>
          <w:rFonts w:ascii="David" w:hAnsi="David" w:cs="David"/>
          <w:color w:val="000000"/>
          <w:rtl/>
        </w:rPr>
        <w:t>פסק דינו של המשנה לנשיא (כתוארו דאז) א' מצא, ההדגשות אינן במקור).</w:t>
      </w:r>
    </w:p>
    <w:p w:rsidR="00264D90" w:rsidRDefault="00264D90" w:rsidP="008474CD">
      <w:pPr>
        <w:pStyle w:val="ad"/>
        <w:numPr>
          <w:ilvl w:val="0"/>
          <w:numId w:val="2"/>
        </w:numPr>
        <w:spacing w:line="360" w:lineRule="auto"/>
        <w:jc w:val="both"/>
        <w:rPr>
          <w:rFonts w:ascii="David" w:hAnsi="David"/>
          <w:noProof w:val="0"/>
        </w:rPr>
      </w:pPr>
      <w:r w:rsidRPr="00ED7D6C">
        <w:rPr>
          <w:rFonts w:ascii="David" w:hAnsi="David"/>
          <w:noProof w:val="0"/>
          <w:rtl/>
        </w:rPr>
        <w:t xml:space="preserve">הנה </w:t>
      </w:r>
      <w:r w:rsidRPr="00ED7D6C">
        <w:rPr>
          <w:rFonts w:ascii="David" w:hAnsi="David"/>
          <w:b/>
          <w:bCs/>
          <w:noProof w:val="0"/>
          <w:rtl/>
        </w:rPr>
        <w:t>בעניין גניס</w:t>
      </w:r>
      <w:r w:rsidRPr="00ED7D6C">
        <w:rPr>
          <w:rFonts w:ascii="David" w:hAnsi="David"/>
          <w:noProof w:val="0"/>
          <w:rtl/>
        </w:rPr>
        <w:t xml:space="preserve"> נקבע כי החוק שבוטל נשאר בתוקפו ביחס לאותם אנשים שהסתמכ</w:t>
      </w:r>
      <w:r w:rsidR="00ED7D6C" w:rsidRPr="00ED7D6C">
        <w:rPr>
          <w:rFonts w:ascii="David" w:hAnsi="David"/>
          <w:noProof w:val="0"/>
          <w:rtl/>
        </w:rPr>
        <w:t>ו עליו ושינו את מצבם לרעה.</w:t>
      </w:r>
      <w:r w:rsidRPr="00ED7D6C">
        <w:rPr>
          <w:rFonts w:ascii="David" w:hAnsi="David"/>
          <w:noProof w:val="0"/>
          <w:rtl/>
        </w:rPr>
        <w:t xml:space="preserve"> בענייננו</w:t>
      </w:r>
      <w:r w:rsidR="00ED7D6C" w:rsidRPr="00ED7D6C">
        <w:rPr>
          <w:rFonts w:ascii="David" w:hAnsi="David" w:hint="cs"/>
          <w:noProof w:val="0"/>
          <w:rtl/>
        </w:rPr>
        <w:t>,</w:t>
      </w:r>
      <w:r w:rsidRPr="00ED7D6C">
        <w:rPr>
          <w:rFonts w:ascii="David" w:hAnsi="David"/>
          <w:noProof w:val="0"/>
          <w:rtl/>
        </w:rPr>
        <w:t xml:space="preserve"> מדובר במצב שונה כאשר אין בסיס לטענת העוררים כי  הם הסתמכו על </w:t>
      </w:r>
      <w:r w:rsidR="00ED7D6C" w:rsidRPr="00ED7D6C">
        <w:rPr>
          <w:rFonts w:ascii="David" w:hAnsi="David" w:hint="cs"/>
          <w:noProof w:val="0"/>
          <w:rtl/>
        </w:rPr>
        <w:t xml:space="preserve">הוראת השעה והניחו כי החוק לא ישונה עד סוף שנת 2020. </w:t>
      </w:r>
      <w:r w:rsidRPr="00ED7D6C">
        <w:rPr>
          <w:rFonts w:ascii="David" w:hAnsi="David"/>
          <w:noProof w:val="0"/>
          <w:rtl/>
        </w:rPr>
        <w:t xml:space="preserve">העוררים לא שינו התנהגותם בהתאם להסתמכות הנטענת אלא חתמו על ההסכם, דיווחו כנדרש על המכירה ואף הצהירו מהו הסכום שעליהם לשלם בהתאם למדרגות המס שהיו רלוונטיות באותה העת. </w:t>
      </w:r>
    </w:p>
    <w:p w:rsidR="00ED7D6C" w:rsidRPr="00ED7D6C" w:rsidRDefault="00ED7D6C" w:rsidP="00ED7D6C">
      <w:pPr>
        <w:pStyle w:val="ad"/>
        <w:spacing w:line="360" w:lineRule="auto"/>
        <w:jc w:val="both"/>
        <w:rPr>
          <w:rFonts w:ascii="David" w:hAnsi="David"/>
          <w:noProof w:val="0"/>
        </w:rPr>
      </w:pPr>
    </w:p>
    <w:p w:rsidR="00264D90" w:rsidRDefault="00264D90" w:rsidP="00ED7D6C">
      <w:pPr>
        <w:pStyle w:val="ad"/>
        <w:numPr>
          <w:ilvl w:val="0"/>
          <w:numId w:val="2"/>
        </w:numPr>
        <w:spacing w:line="360" w:lineRule="auto"/>
        <w:jc w:val="both"/>
        <w:rPr>
          <w:rFonts w:ascii="David" w:hAnsi="David"/>
          <w:noProof w:val="0"/>
          <w:rtl/>
        </w:rPr>
      </w:pPr>
      <w:r>
        <w:rPr>
          <w:rFonts w:ascii="David" w:hAnsi="David"/>
          <w:noProof w:val="0"/>
          <w:rtl/>
        </w:rPr>
        <w:t xml:space="preserve">לעוררים אין זכות קנויה לכך שמדיניות המס לא תשתנה. המדינה מוסמכת, אפוא, לקבוע בחוק הסדרי מס וכן לשנותם ובלבד שתעשה כן תוך שמירה על הליכי החקיקה </w:t>
      </w:r>
      <w:r w:rsidR="00ED7D6C">
        <w:rPr>
          <w:rFonts w:ascii="David" w:hAnsi="David" w:hint="cs"/>
          <w:noProof w:val="0"/>
          <w:rtl/>
        </w:rPr>
        <w:t>שנקבעו בדין</w:t>
      </w:r>
      <w:r>
        <w:rPr>
          <w:rFonts w:ascii="David" w:hAnsi="David"/>
          <w:noProof w:val="0"/>
          <w:rtl/>
        </w:rPr>
        <w:t xml:space="preserve">. שיקול-הדעת המסור למדינה בעניינים פיסקאליים הוא רחב, והיא רשאית לשנות ולהתוות המדיניות ככל שעולה הצורך. מרחב זה של שיקול-דעת מוביל בהכרח למסקנה כי אין לעוררים זכות קנויה או זכות </w:t>
      </w:r>
      <w:r>
        <w:rPr>
          <w:rFonts w:ascii="David" w:hAnsi="David"/>
          <w:noProof w:val="0"/>
          <w:rtl/>
        </w:rPr>
        <w:lastRenderedPageBreak/>
        <w:t>לציפייה סבירה היוצרת הסתמכות לגיטימית, כי מדרגות המס שהותוו בעבר לא ישתנו לעתיד לבוא. מסקנה זו חיונית היא על מנת לשמר בידי הרשות את שיקול-הדעת המסור לה בהקשר זה וכן לאפשר גביית מס אמת מנישומים עת התרחשות אירוע מס. בהקשר זה ראו</w:t>
      </w:r>
      <w:r w:rsidR="00ED7D6C">
        <w:rPr>
          <w:rFonts w:ascii="David" w:hAnsi="David" w:hint="cs"/>
          <w:noProof w:val="0"/>
          <w:rtl/>
        </w:rPr>
        <w:t xml:space="preserve"> את</w:t>
      </w:r>
      <w:r>
        <w:rPr>
          <w:rFonts w:ascii="David" w:hAnsi="David"/>
          <w:noProof w:val="0"/>
          <w:rtl/>
        </w:rPr>
        <w:t xml:space="preserve"> </w:t>
      </w:r>
      <w:r>
        <w:rPr>
          <w:rFonts w:ascii="David" w:hAnsi="David"/>
          <w:color w:val="000000"/>
          <w:rtl/>
        </w:rPr>
        <w:t xml:space="preserve">בג"ץ 3734/11 </w:t>
      </w:r>
      <w:r>
        <w:rPr>
          <w:rFonts w:ascii="David" w:hAnsi="David"/>
          <w:b/>
          <w:bCs/>
          <w:color w:val="000000"/>
          <w:rtl/>
        </w:rPr>
        <w:t>חיים דודיאן ואח' נ' כנסת ישראל</w:t>
      </w:r>
      <w:r>
        <w:rPr>
          <w:rFonts w:ascii="David" w:hAnsi="David"/>
          <w:color w:val="000000"/>
          <w:rtl/>
        </w:rPr>
        <w:t xml:space="preserve">, סו(1) 65 </w:t>
      </w:r>
      <w:r>
        <w:rPr>
          <w:rFonts w:ascii="David" w:hAnsi="David"/>
          <w:color w:val="000000"/>
        </w:rPr>
        <w:t xml:space="preserve"> (2012)</w:t>
      </w:r>
      <w:r>
        <w:rPr>
          <w:rFonts w:ascii="David" w:hAnsi="David"/>
          <w:color w:val="000000"/>
          <w:rtl/>
        </w:rPr>
        <w:t>:</w:t>
      </w:r>
    </w:p>
    <w:p w:rsidR="00264D90" w:rsidRDefault="00264D90" w:rsidP="00264D90">
      <w:pPr>
        <w:pStyle w:val="ad"/>
        <w:spacing w:line="360" w:lineRule="auto"/>
        <w:jc w:val="both"/>
        <w:rPr>
          <w:rFonts w:ascii="David" w:hAnsi="David"/>
          <w:noProof w:val="0"/>
          <w:rtl/>
        </w:rPr>
      </w:pPr>
    </w:p>
    <w:p w:rsidR="00264D90" w:rsidRDefault="00264D90" w:rsidP="00264D90">
      <w:pPr>
        <w:shd w:val="clear" w:color="auto" w:fill="FFFFFF"/>
        <w:spacing w:line="360" w:lineRule="auto"/>
        <w:ind w:left="1417"/>
        <w:jc w:val="both"/>
        <w:rPr>
          <w:rFonts w:ascii="David" w:hAnsi="David"/>
          <w:b/>
          <w:bCs/>
          <w:color w:val="000000"/>
        </w:rPr>
      </w:pPr>
      <w:r>
        <w:rPr>
          <w:rFonts w:ascii="David" w:hAnsi="David"/>
          <w:b/>
          <w:bCs/>
          <w:color w:val="000000"/>
          <w:spacing w:val="10"/>
          <w:rtl/>
        </w:rPr>
        <w:t>"24. אין מקום לדעתי לקבל </w:t>
      </w:r>
      <w:r>
        <w:rPr>
          <w:rFonts w:ascii="David" w:hAnsi="David"/>
          <w:b/>
          <w:bCs/>
          <w:color w:val="000000"/>
          <w:rtl/>
        </w:rPr>
        <w:t>מבחינה עובדתית</w:t>
      </w:r>
      <w:r>
        <w:rPr>
          <w:rFonts w:ascii="David" w:hAnsi="David"/>
          <w:b/>
          <w:bCs/>
          <w:color w:val="000000"/>
          <w:spacing w:val="10"/>
          <w:rtl/>
        </w:rPr>
        <w:t> את טענת העותרים לפיה נוצרה בינם לבין המדינה "עסקה סטטוטורית" כלשהי המונעת מן המדינה לשנות את מדיניותה הפיסקאלית, או הסתמכות ממשית של העותרים על מצב שכזה. [..] לא אחת נפסק כי למשקיע אין זכות קנויה לכך שמדיניות כלכלית עליה התבסס תימשך. עמד על כך המשנה לנשיאה א' ריבלין:</w:t>
      </w:r>
    </w:p>
    <w:p w:rsidR="00264D90" w:rsidRDefault="00264D90" w:rsidP="00264D90">
      <w:pPr>
        <w:shd w:val="clear" w:color="auto" w:fill="FFFFFF"/>
        <w:spacing w:line="360" w:lineRule="auto"/>
        <w:ind w:left="1417"/>
        <w:jc w:val="both"/>
        <w:rPr>
          <w:rFonts w:ascii="David" w:hAnsi="David"/>
          <w:b/>
          <w:bCs/>
          <w:color w:val="000000"/>
          <w:spacing w:val="10"/>
          <w:rtl/>
        </w:rPr>
      </w:pPr>
      <w:r>
        <w:rPr>
          <w:rFonts w:ascii="David" w:hAnsi="David"/>
          <w:b/>
          <w:bCs/>
          <w:color w:val="000000"/>
          <w:spacing w:val="10"/>
          <w:rtl/>
        </w:rPr>
        <w:t> </w:t>
      </w:r>
    </w:p>
    <w:p w:rsidR="00264D90" w:rsidRDefault="00264D90" w:rsidP="00264D90">
      <w:pPr>
        <w:shd w:val="clear" w:color="auto" w:fill="FFFFFF"/>
        <w:spacing w:line="360" w:lineRule="auto"/>
        <w:ind w:left="1417"/>
        <w:jc w:val="both"/>
        <w:rPr>
          <w:rFonts w:ascii="David" w:hAnsi="David"/>
          <w:b/>
          <w:bCs/>
          <w:color w:val="000000"/>
          <w:spacing w:val="10"/>
        </w:rPr>
      </w:pPr>
      <w:r>
        <w:rPr>
          <w:rFonts w:ascii="David" w:hAnsi="David"/>
          <w:b/>
          <w:bCs/>
          <w:color w:val="000000"/>
          <w:spacing w:val="10"/>
          <w:rtl/>
        </w:rPr>
        <w:t>"</w:t>
      </w:r>
      <w:r>
        <w:rPr>
          <w:rFonts w:ascii="David" w:hAnsi="David"/>
          <w:b/>
          <w:bCs/>
          <w:color w:val="000000"/>
          <w:spacing w:val="10"/>
          <w:u w:val="single"/>
          <w:rtl/>
        </w:rPr>
        <w:t>מדיניות כלכלית מיטיבה, דוגמת פטור ממס, איננה יוצרת זכות קנויה להמשך המדיניות, אף לא כאשר אדם ביסס את התכנון הכלכלי ארוך הטווח שלו על קיומה של המדיניות. אמנם אפשר שתיווצר ציפייה כי המדיניות תימשך, אך ציפייה זו אינה עולה כדי זכות</w:t>
      </w:r>
      <w:r>
        <w:rPr>
          <w:rFonts w:ascii="David" w:hAnsi="David"/>
          <w:b/>
          <w:bCs/>
          <w:color w:val="000000"/>
          <w:spacing w:val="10"/>
          <w:rtl/>
        </w:rPr>
        <w:t>" (</w:t>
      </w:r>
      <w:hyperlink r:id="rId23" w:tgtFrame="blank" w:history="1">
        <w:r>
          <w:rPr>
            <w:rStyle w:val="Hyperlink"/>
            <w:rFonts w:ascii="David" w:hAnsi="David"/>
            <w:b/>
            <w:bCs/>
            <w:spacing w:val="10"/>
            <w:rtl/>
          </w:rPr>
          <w:t>בג"ץ 3644/06</w:t>
        </w:r>
      </w:hyperlink>
      <w:r>
        <w:rPr>
          <w:rFonts w:ascii="David" w:hAnsi="David"/>
          <w:b/>
          <w:bCs/>
          <w:color w:val="000000"/>
          <w:spacing w:val="10"/>
          <w:rtl/>
        </w:rPr>
        <w:t> </w:t>
      </w:r>
      <w:r>
        <w:rPr>
          <w:rFonts w:ascii="David" w:hAnsi="David"/>
          <w:b/>
          <w:bCs/>
          <w:color w:val="000000"/>
          <w:rtl/>
        </w:rPr>
        <w:t>לנדס שהנז נ' משרד האוצר</w:t>
      </w:r>
      <w:r>
        <w:rPr>
          <w:rFonts w:ascii="David" w:hAnsi="David"/>
          <w:b/>
          <w:bCs/>
          <w:color w:val="000000"/>
          <w:spacing w:val="10"/>
          <w:rtl/>
        </w:rPr>
        <w:t>, פסקה 9 (</w:t>
      </w:r>
      <w:r>
        <w:rPr>
          <w:rFonts w:ascii="David" w:hAnsi="David"/>
          <w:b/>
          <w:bCs/>
          <w:color w:val="000000"/>
          <w:rtl/>
        </w:rPr>
        <w:t>[פורסם בנבו]</w:t>
      </w:r>
      <w:r>
        <w:rPr>
          <w:rFonts w:ascii="David" w:hAnsi="David"/>
          <w:b/>
          <w:bCs/>
          <w:color w:val="000000"/>
          <w:spacing w:val="10"/>
          <w:rtl/>
        </w:rPr>
        <w:t>, 23.9.2009)).</w:t>
      </w:r>
    </w:p>
    <w:p w:rsidR="00264D90" w:rsidRDefault="00264D90" w:rsidP="00264D90">
      <w:pPr>
        <w:shd w:val="clear" w:color="auto" w:fill="FFFFFF"/>
        <w:spacing w:line="360" w:lineRule="auto"/>
        <w:ind w:left="1417"/>
        <w:jc w:val="both"/>
        <w:rPr>
          <w:rFonts w:ascii="David" w:hAnsi="David"/>
          <w:b/>
          <w:bCs/>
          <w:color w:val="000000"/>
          <w:rtl/>
        </w:rPr>
      </w:pPr>
      <w:r>
        <w:rPr>
          <w:rFonts w:ascii="David" w:hAnsi="David"/>
          <w:b/>
          <w:bCs/>
          <w:color w:val="000000"/>
          <w:spacing w:val="10"/>
          <w:rtl/>
        </w:rPr>
        <w:t> </w:t>
      </w:r>
    </w:p>
    <w:p w:rsidR="00264D90" w:rsidRDefault="00264D90" w:rsidP="00264D90">
      <w:pPr>
        <w:shd w:val="clear" w:color="auto" w:fill="FFFFFF"/>
        <w:spacing w:line="360" w:lineRule="auto"/>
        <w:ind w:left="1417"/>
        <w:jc w:val="both"/>
        <w:rPr>
          <w:rFonts w:ascii="David" w:hAnsi="David"/>
          <w:b/>
          <w:bCs/>
          <w:color w:val="000000"/>
          <w:rtl/>
        </w:rPr>
      </w:pPr>
      <w:r>
        <w:rPr>
          <w:rFonts w:ascii="David" w:hAnsi="David"/>
          <w:b/>
          <w:bCs/>
          <w:color w:val="000000"/>
          <w:spacing w:val="10"/>
          <w:rtl/>
        </w:rPr>
        <w:t>והטעים אף השופט א' ברק:</w:t>
      </w:r>
    </w:p>
    <w:p w:rsidR="00264D90" w:rsidRDefault="00264D90" w:rsidP="00264D90">
      <w:pPr>
        <w:shd w:val="clear" w:color="auto" w:fill="FFFFFF"/>
        <w:spacing w:line="360" w:lineRule="auto"/>
        <w:ind w:left="1417"/>
        <w:jc w:val="both"/>
        <w:rPr>
          <w:rFonts w:ascii="David" w:hAnsi="David"/>
          <w:b/>
          <w:bCs/>
          <w:color w:val="000000"/>
          <w:spacing w:val="10"/>
          <w:rtl/>
        </w:rPr>
      </w:pPr>
      <w:r>
        <w:rPr>
          <w:rFonts w:ascii="David" w:hAnsi="David"/>
          <w:b/>
          <w:bCs/>
          <w:color w:val="000000"/>
          <w:spacing w:val="10"/>
          <w:rtl/>
        </w:rPr>
        <w:t xml:space="preserve">"הלכה פסוקה היא, כי אין לשום אדם זכות מוקנית לכך שמדיניות כלכלית, עליה ביסס את חישוביו העסקיים, תימשך... נמצא, כי אדם, הנוטל סובסידיה או הטבה אחרת מהרשות הציבורית, נוטל על עצמו סיכוי עם סיכון, והסיכון הוא, כי </w:t>
      </w:r>
      <w:r>
        <w:rPr>
          <w:rFonts w:ascii="David" w:hAnsi="David"/>
          <w:b/>
          <w:bCs/>
          <w:color w:val="000000"/>
          <w:spacing w:val="10"/>
          <w:rtl/>
        </w:rPr>
        <w:lastRenderedPageBreak/>
        <w:t>הסובסידיה או ההטבה יבוטלו או ישונו, ועליו לכלכל מעשיו תוך לקיחת אפשרות זו בחשבון שיקוליו" (</w:t>
      </w:r>
      <w:hyperlink r:id="rId24" w:tgtFrame="blank" w:history="1">
        <w:r>
          <w:rPr>
            <w:rStyle w:val="Hyperlink"/>
            <w:rFonts w:ascii="David" w:hAnsi="David"/>
            <w:b/>
            <w:bCs/>
            <w:spacing w:val="10"/>
            <w:rtl/>
          </w:rPr>
          <w:t>בג"ץ 198/82 בן ציון מוניץ נ' בנק ישראל, פ"ד לו</w:t>
        </w:r>
      </w:hyperlink>
      <w:r>
        <w:rPr>
          <w:rFonts w:ascii="David" w:hAnsi="David"/>
          <w:b/>
          <w:bCs/>
          <w:color w:val="000000"/>
          <w:spacing w:val="10"/>
          <w:rtl/>
        </w:rPr>
        <w:t>(3) 466, 470 (1982); ראו גם ע"א 295/76 לעיל).</w:t>
      </w:r>
    </w:p>
    <w:p w:rsidR="00264D90" w:rsidRDefault="00264D90" w:rsidP="00264D90">
      <w:pPr>
        <w:shd w:val="clear" w:color="auto" w:fill="FFFFFF"/>
        <w:spacing w:line="360" w:lineRule="auto"/>
        <w:ind w:left="1417"/>
        <w:jc w:val="both"/>
        <w:rPr>
          <w:rFonts w:ascii="David" w:hAnsi="David"/>
          <w:b/>
          <w:bCs/>
          <w:color w:val="000000"/>
          <w:spacing w:val="10"/>
          <w:rtl/>
        </w:rPr>
      </w:pPr>
      <w:r>
        <w:rPr>
          <w:rFonts w:ascii="David" w:hAnsi="David"/>
          <w:b/>
          <w:bCs/>
          <w:color w:val="000000"/>
          <w:spacing w:val="10"/>
          <w:rtl/>
        </w:rPr>
        <w:t> </w:t>
      </w:r>
    </w:p>
    <w:p w:rsidR="00264D90" w:rsidRDefault="00264D90" w:rsidP="00264D90">
      <w:pPr>
        <w:shd w:val="clear" w:color="auto" w:fill="FFFFFF"/>
        <w:spacing w:line="360" w:lineRule="auto"/>
        <w:ind w:left="1417"/>
        <w:jc w:val="both"/>
        <w:rPr>
          <w:rFonts w:ascii="David" w:hAnsi="David"/>
          <w:color w:val="000000"/>
          <w:rtl/>
        </w:rPr>
      </w:pPr>
      <w:r>
        <w:rPr>
          <w:rFonts w:ascii="David" w:hAnsi="David"/>
          <w:b/>
          <w:bCs/>
          <w:color w:val="000000"/>
          <w:spacing w:val="10"/>
          <w:rtl/>
        </w:rPr>
        <w:t>דברים אלו יפים מקל וחומר כאשר השינוי נעשה </w:t>
      </w:r>
      <w:r>
        <w:rPr>
          <w:rFonts w:ascii="David" w:hAnsi="David"/>
          <w:b/>
          <w:bCs/>
          <w:color w:val="000000"/>
          <w:rtl/>
        </w:rPr>
        <w:t>בחקיקה ראשית של הכנסת</w:t>
      </w:r>
      <w:r>
        <w:rPr>
          <w:rFonts w:ascii="David" w:hAnsi="David"/>
          <w:b/>
          <w:bCs/>
          <w:color w:val="000000"/>
          <w:spacing w:val="10"/>
          <w:rtl/>
        </w:rPr>
        <w:t>. לבעלי הזכויות בנפט אין כל ציפייה מוגנת שהכנסת לא תשנה את החקיקה ביחס למיסוי הרווחים מזכויותיהם. ספק כאמור אם ניתן לומר כי העותרים הסתמכו בפועל על ציפייה שכזו ליציבות הדין.</w:t>
      </w:r>
      <w:r>
        <w:rPr>
          <w:rFonts w:ascii="David" w:hAnsi="David"/>
          <w:b/>
          <w:bCs/>
          <w:color w:val="000000"/>
          <w:rtl/>
        </w:rPr>
        <w:t xml:space="preserve">" </w:t>
      </w:r>
      <w:r>
        <w:rPr>
          <w:rFonts w:ascii="David" w:hAnsi="David"/>
          <w:color w:val="000000"/>
          <w:rtl/>
        </w:rPr>
        <w:t>(ההדגשות אינן במקור)</w:t>
      </w:r>
    </w:p>
    <w:p w:rsidR="00264D90" w:rsidRDefault="00264D90" w:rsidP="00264D90">
      <w:pPr>
        <w:spacing w:line="360" w:lineRule="auto"/>
        <w:jc w:val="both"/>
        <w:rPr>
          <w:rFonts w:ascii="David" w:hAnsi="David"/>
          <w:strike/>
          <w:noProof w:val="0"/>
          <w:sz w:val="22"/>
          <w:szCs w:val="22"/>
        </w:rPr>
      </w:pPr>
    </w:p>
    <w:p w:rsidR="00264D90" w:rsidRPr="00B56E47" w:rsidRDefault="00264D90" w:rsidP="00264D90">
      <w:pPr>
        <w:spacing w:line="360" w:lineRule="auto"/>
        <w:ind w:left="720" w:hanging="720"/>
        <w:jc w:val="both"/>
        <w:rPr>
          <w:rFonts w:ascii="David" w:hAnsi="David"/>
          <w:noProof w:val="0"/>
          <w:u w:val="single"/>
        </w:rPr>
      </w:pPr>
      <w:r w:rsidRPr="00B56E47">
        <w:rPr>
          <w:rFonts w:ascii="David" w:hAnsi="David"/>
          <w:noProof w:val="0"/>
          <w:u w:val="single"/>
          <w:rtl/>
        </w:rPr>
        <w:t>הפרת חובה חקוקה</w:t>
      </w:r>
    </w:p>
    <w:p w:rsidR="000E6380" w:rsidRDefault="00264D90" w:rsidP="008C1043">
      <w:pPr>
        <w:pStyle w:val="ad"/>
        <w:numPr>
          <w:ilvl w:val="0"/>
          <w:numId w:val="2"/>
        </w:numPr>
        <w:spacing w:line="360" w:lineRule="auto"/>
        <w:jc w:val="both"/>
        <w:rPr>
          <w:rFonts w:ascii="David" w:hAnsi="David"/>
          <w:b/>
          <w:bCs/>
          <w:noProof w:val="0"/>
          <w:u w:val="single"/>
        </w:rPr>
      </w:pPr>
      <w:r>
        <w:rPr>
          <w:rFonts w:ascii="David" w:hAnsi="David"/>
          <w:noProof w:val="0"/>
          <w:rtl/>
        </w:rPr>
        <w:t>העוררים טענו</w:t>
      </w:r>
      <w:r>
        <w:rPr>
          <w:rFonts w:ascii="David" w:hAnsi="David" w:hint="cs"/>
          <w:noProof w:val="0"/>
          <w:rtl/>
        </w:rPr>
        <w:t>,</w:t>
      </w:r>
      <w:r>
        <w:rPr>
          <w:rFonts w:ascii="David" w:hAnsi="David"/>
          <w:noProof w:val="0"/>
          <w:rtl/>
        </w:rPr>
        <w:t xml:space="preserve"> כי רשות המסים הפרה מספר </w:t>
      </w:r>
      <w:r w:rsidR="002E7861">
        <w:rPr>
          <w:rFonts w:ascii="David" w:hAnsi="David"/>
          <w:noProof w:val="0"/>
          <w:rtl/>
        </w:rPr>
        <w:t>חובות חקוקות ובכך גרמה להם עוו</w:t>
      </w:r>
      <w:r w:rsidR="002E7861">
        <w:rPr>
          <w:rFonts w:ascii="David" w:hAnsi="David" w:hint="cs"/>
          <w:noProof w:val="0"/>
          <w:rtl/>
        </w:rPr>
        <w:t>ל.</w:t>
      </w:r>
      <w:r w:rsidR="000E6380">
        <w:rPr>
          <w:rFonts w:ascii="David" w:hAnsi="David" w:hint="cs"/>
          <w:noProof w:val="0"/>
          <w:rtl/>
        </w:rPr>
        <w:t xml:space="preserve"> כך טענו לפגיעה בקניין לפי חוק יסוד: כבוד האדם וחירותו: "</w:t>
      </w:r>
      <w:r w:rsidR="000E6380" w:rsidRPr="00133475">
        <w:rPr>
          <w:rFonts w:ascii="David" w:hAnsi="David" w:hint="cs"/>
          <w:b/>
          <w:bCs/>
          <w:noProof w:val="0"/>
          <w:rtl/>
        </w:rPr>
        <w:t>בסעיף 3 לחוק יסוד: כבוד האדם וחירותו נקבע כי אין פוגעים בקנינו של אדם; בסעיף 8 לחוק היסוד הנ"ל נקבע כי אין לפגוע בזכויות שלפי חוק יסוד זה במידה שאינה עולה על הנדרש וכו'; בסעיף 11 לחוק היסוד הנ"ל נקבע כי הוא חובה על כל רשות מרשויות השלטון לכבד את הזכויות שלפי חוק היסוד האמור לעיל.</w:t>
      </w:r>
      <w:r w:rsidR="000E6380">
        <w:rPr>
          <w:rFonts w:ascii="David" w:hAnsi="David" w:hint="cs"/>
          <w:noProof w:val="0"/>
          <w:rtl/>
        </w:rPr>
        <w:t>"</w:t>
      </w:r>
      <w:r w:rsidR="00133475">
        <w:rPr>
          <w:rFonts w:ascii="David" w:hAnsi="David" w:hint="cs"/>
          <w:noProof w:val="0"/>
          <w:rtl/>
        </w:rPr>
        <w:t xml:space="preserve"> (פסקה 70 לסיכומי העוררים).</w:t>
      </w:r>
    </w:p>
    <w:p w:rsidR="00133475" w:rsidRPr="00B12DDE" w:rsidRDefault="00133475" w:rsidP="00133475">
      <w:pPr>
        <w:rPr>
          <w:rFonts w:ascii="David" w:hAnsi="David"/>
          <w:noProof w:val="0"/>
          <w:rtl/>
        </w:rPr>
      </w:pPr>
    </w:p>
    <w:p w:rsidR="00133475" w:rsidRDefault="00133475" w:rsidP="00B12DDE">
      <w:pPr>
        <w:pStyle w:val="ad"/>
        <w:numPr>
          <w:ilvl w:val="0"/>
          <w:numId w:val="2"/>
        </w:numPr>
        <w:spacing w:line="360" w:lineRule="auto"/>
        <w:jc w:val="both"/>
        <w:rPr>
          <w:rFonts w:ascii="David" w:hAnsi="David"/>
          <w:b/>
          <w:bCs/>
          <w:noProof w:val="0"/>
          <w:u w:val="single"/>
        </w:rPr>
      </w:pPr>
      <w:r>
        <w:rPr>
          <w:rFonts w:ascii="David" w:hAnsi="David"/>
          <w:noProof w:val="0"/>
          <w:rtl/>
        </w:rPr>
        <w:t>בנוסף</w:t>
      </w:r>
      <w:r>
        <w:rPr>
          <w:rFonts w:ascii="David" w:hAnsi="David" w:hint="cs"/>
          <w:noProof w:val="0"/>
          <w:rtl/>
        </w:rPr>
        <w:t xml:space="preserve">, </w:t>
      </w:r>
      <w:r w:rsidR="00264D90" w:rsidRPr="002E7861">
        <w:rPr>
          <w:rFonts w:ascii="David" w:hAnsi="David"/>
          <w:noProof w:val="0"/>
          <w:rtl/>
        </w:rPr>
        <w:t xml:space="preserve">העוררים </w:t>
      </w:r>
      <w:r>
        <w:rPr>
          <w:rFonts w:ascii="David" w:hAnsi="David" w:hint="cs"/>
          <w:noProof w:val="0"/>
          <w:rtl/>
        </w:rPr>
        <w:t xml:space="preserve">טענו </w:t>
      </w:r>
      <w:r w:rsidR="00264D90" w:rsidRPr="002E7861">
        <w:rPr>
          <w:rFonts w:ascii="David" w:hAnsi="David"/>
          <w:noProof w:val="0"/>
          <w:rtl/>
        </w:rPr>
        <w:t xml:space="preserve">כי ביחסים שבין המדינה לרוכש, הפרה המדינה את חובותיה מכוח חוק החוזים- </w:t>
      </w:r>
      <w:r>
        <w:rPr>
          <w:rFonts w:ascii="David" w:hAnsi="David"/>
          <w:noProof w:val="0"/>
          <w:rtl/>
        </w:rPr>
        <w:t xml:space="preserve">מניעת הטעיה ותום לב </w:t>
      </w:r>
      <w:r>
        <w:rPr>
          <w:rFonts w:ascii="David" w:hAnsi="David" w:hint="cs"/>
          <w:noProof w:val="0"/>
          <w:rtl/>
        </w:rPr>
        <w:t xml:space="preserve">הראוי </w:t>
      </w:r>
      <w:r>
        <w:rPr>
          <w:rFonts w:ascii="David" w:hAnsi="David"/>
          <w:noProof w:val="0"/>
          <w:rtl/>
        </w:rPr>
        <w:t>כלפי הנישו</w:t>
      </w:r>
      <w:r>
        <w:rPr>
          <w:rFonts w:ascii="David" w:hAnsi="David" w:hint="cs"/>
          <w:noProof w:val="0"/>
          <w:rtl/>
        </w:rPr>
        <w:t>מים:</w:t>
      </w:r>
      <w:r w:rsidR="00B12DDE">
        <w:rPr>
          <w:rFonts w:ascii="David" w:hAnsi="David" w:hint="cs"/>
          <w:b/>
          <w:bCs/>
          <w:noProof w:val="0"/>
          <w:rtl/>
        </w:rPr>
        <w:t xml:space="preserve"> "הפרה הרשות את חובותיה לפי סעיף 15 לחוק החוזים (חלק כללי) בעניין הטעיה, וכן סעיף 39 (קיום בתום לב) וכן סעיף 61 (תחולה). יוטעם בעניין זה, כי סעיף 61 לחוק החוזים כללי מחיל את עקרון תום הלב גם על פעולות משפטיות שאינן בבחינת חוזה ועל חיובים שאינם נובעים מחוזה [...]". </w:t>
      </w:r>
      <w:r w:rsidR="00B12DDE" w:rsidRPr="00D25B43">
        <w:rPr>
          <w:rFonts w:ascii="David" w:hAnsi="David" w:hint="cs"/>
          <w:noProof w:val="0"/>
          <w:rtl/>
        </w:rPr>
        <w:t>(</w:t>
      </w:r>
      <w:r w:rsidR="00B12DDE">
        <w:rPr>
          <w:rFonts w:ascii="David" w:hAnsi="David" w:hint="cs"/>
          <w:noProof w:val="0"/>
          <w:rtl/>
        </w:rPr>
        <w:t>פסקה 71 לסיכומי העוררים).</w:t>
      </w:r>
    </w:p>
    <w:p w:rsidR="00B12DDE" w:rsidRPr="00B12DDE" w:rsidRDefault="00B12DDE" w:rsidP="00B12DDE">
      <w:pPr>
        <w:spacing w:line="360" w:lineRule="auto"/>
        <w:jc w:val="both"/>
        <w:rPr>
          <w:rFonts w:ascii="David" w:hAnsi="David"/>
          <w:b/>
          <w:bCs/>
          <w:noProof w:val="0"/>
          <w:u w:val="single"/>
        </w:rPr>
      </w:pPr>
    </w:p>
    <w:p w:rsidR="00264D90" w:rsidRDefault="008C1043" w:rsidP="008800DE">
      <w:pPr>
        <w:pStyle w:val="ad"/>
        <w:numPr>
          <w:ilvl w:val="0"/>
          <w:numId w:val="2"/>
        </w:numPr>
        <w:spacing w:line="360" w:lineRule="auto"/>
        <w:jc w:val="both"/>
        <w:rPr>
          <w:rFonts w:ascii="David" w:hAnsi="David"/>
          <w:b/>
          <w:bCs/>
          <w:noProof w:val="0"/>
          <w:u w:val="single"/>
        </w:rPr>
      </w:pPr>
      <w:r>
        <w:rPr>
          <w:rFonts w:ascii="David" w:hAnsi="David" w:hint="cs"/>
          <w:noProof w:val="0"/>
          <w:rtl/>
        </w:rPr>
        <w:t>כאמור לעיל, עמדנו</w:t>
      </w:r>
      <w:r w:rsidR="00B12DDE">
        <w:rPr>
          <w:rFonts w:ascii="David" w:hAnsi="David" w:hint="cs"/>
          <w:noProof w:val="0"/>
          <w:rtl/>
        </w:rPr>
        <w:t xml:space="preserve"> על כך ש</w:t>
      </w:r>
      <w:r w:rsidR="00B12DDE" w:rsidRPr="002E7861">
        <w:rPr>
          <w:rFonts w:ascii="David" w:hAnsi="David"/>
          <w:noProof w:val="0"/>
          <w:rtl/>
        </w:rPr>
        <w:t xml:space="preserve">הרשות פעלה מתוקף חוק וגבתה מס </w:t>
      </w:r>
      <w:r>
        <w:rPr>
          <w:rFonts w:ascii="David" w:hAnsi="David" w:hint="cs"/>
          <w:noProof w:val="0"/>
          <w:rtl/>
        </w:rPr>
        <w:t>מהעוררים</w:t>
      </w:r>
      <w:r w:rsidR="00B12DDE" w:rsidRPr="002E7861">
        <w:rPr>
          <w:rFonts w:ascii="David" w:hAnsi="David"/>
          <w:noProof w:val="0"/>
          <w:rtl/>
        </w:rPr>
        <w:t xml:space="preserve"> כדין</w:t>
      </w:r>
      <w:r w:rsidR="00B12DDE">
        <w:rPr>
          <w:rFonts w:ascii="David" w:hAnsi="David" w:hint="cs"/>
          <w:noProof w:val="0"/>
          <w:rtl/>
        </w:rPr>
        <w:t xml:space="preserve">. </w:t>
      </w:r>
      <w:r w:rsidR="00B12DDE" w:rsidRPr="002E7861">
        <w:rPr>
          <w:rFonts w:ascii="David" w:hAnsi="David"/>
          <w:noProof w:val="0"/>
          <w:rtl/>
        </w:rPr>
        <w:t>הרשות גבתה מס אמת לפי מדרגות המס שהוחלו עת ביצוע העסקה על ידי העוררים, בהתאם לחוק</w:t>
      </w:r>
      <w:r w:rsidR="00B12DDE">
        <w:rPr>
          <w:rFonts w:ascii="David" w:hAnsi="David" w:hint="cs"/>
          <w:noProof w:val="0"/>
          <w:rtl/>
        </w:rPr>
        <w:t xml:space="preserve"> תקף</w:t>
      </w:r>
      <w:r w:rsidR="00B12DDE" w:rsidRPr="002E7861">
        <w:rPr>
          <w:rFonts w:ascii="David" w:hAnsi="David"/>
          <w:noProof w:val="0"/>
          <w:rtl/>
        </w:rPr>
        <w:t xml:space="preserve"> ומכוחו. </w:t>
      </w:r>
      <w:r>
        <w:rPr>
          <w:rFonts w:ascii="David" w:hAnsi="David" w:hint="cs"/>
          <w:noProof w:val="0"/>
          <w:rtl/>
        </w:rPr>
        <w:t>לפיכך, אין לקבל את הטענה להפרת חו</w:t>
      </w:r>
      <w:r w:rsidR="00DA3A8A">
        <w:rPr>
          <w:rFonts w:ascii="David" w:hAnsi="David" w:hint="cs"/>
          <w:noProof w:val="0"/>
          <w:rtl/>
        </w:rPr>
        <w:t>ד</w:t>
      </w:r>
      <w:r>
        <w:rPr>
          <w:rFonts w:ascii="David" w:hAnsi="David" w:hint="cs"/>
          <w:noProof w:val="0"/>
          <w:rtl/>
        </w:rPr>
        <w:t>בה חקוקה על בסיס חוק יסוד: כבוד האדם וחירותו. ביחס לסעיף 15 לחוק החוזים (כללי) וסעיף 39 לחוק, העוררים מניחים כי המדינה הטעתה אותם ופעלה כלפיהם בחוסר תום לב. איני סבור כי טענות אלה משקפות את הדין. אי אפשר לטעון שמשר</w:t>
      </w:r>
      <w:r w:rsidR="008800DE">
        <w:rPr>
          <w:rFonts w:ascii="David" w:hAnsi="David" w:hint="cs"/>
          <w:noProof w:val="0"/>
          <w:rtl/>
        </w:rPr>
        <w:t>ד האוצר הטעה</w:t>
      </w:r>
      <w:r w:rsidR="00091061">
        <w:rPr>
          <w:rFonts w:ascii="David" w:hAnsi="David" w:hint="cs"/>
          <w:noProof w:val="0"/>
          <w:rtl/>
        </w:rPr>
        <w:t xml:space="preserve"> את העוררים, כאשר הליך החקיקה ה</w:t>
      </w:r>
      <w:r w:rsidR="008800DE">
        <w:rPr>
          <w:rFonts w:ascii="David" w:hAnsi="David" w:hint="cs"/>
          <w:noProof w:val="0"/>
          <w:rtl/>
        </w:rPr>
        <w:t>ת</w:t>
      </w:r>
      <w:r w:rsidR="00091061">
        <w:rPr>
          <w:rFonts w:ascii="David" w:hAnsi="David" w:hint="cs"/>
          <w:noProof w:val="0"/>
          <w:rtl/>
        </w:rPr>
        <w:t>נ</w:t>
      </w:r>
      <w:r w:rsidR="008800DE">
        <w:rPr>
          <w:rFonts w:ascii="David" w:hAnsi="David" w:hint="cs"/>
          <w:noProof w:val="0"/>
          <w:rtl/>
        </w:rPr>
        <w:t>הל בכנסת וניתנה במה בו</w:t>
      </w:r>
      <w:r w:rsidR="00091061">
        <w:rPr>
          <w:rFonts w:ascii="David" w:hAnsi="David" w:hint="cs"/>
          <w:noProof w:val="0"/>
          <w:rtl/>
        </w:rPr>
        <w:t>ו</w:t>
      </w:r>
      <w:r w:rsidR="008800DE">
        <w:rPr>
          <w:rFonts w:ascii="David" w:hAnsi="David" w:hint="cs"/>
          <w:noProof w:val="0"/>
          <w:rtl/>
        </w:rPr>
        <w:t>עדת הכספים של הכנסת לציבור לנסות להשפיע על אופן תיקון החוק.</w:t>
      </w:r>
      <w:r>
        <w:rPr>
          <w:rFonts w:ascii="David" w:hAnsi="David" w:hint="cs"/>
          <w:noProof w:val="0"/>
          <w:rtl/>
        </w:rPr>
        <w:t xml:space="preserve"> זאת ועוד, משרד האוצר הביא לאישור הממשלה והכנסת שינוי חקיקתי ואין לראות בפעולותיו אלה </w:t>
      </w:r>
      <w:r w:rsidR="008800DE">
        <w:rPr>
          <w:rFonts w:ascii="David" w:hAnsi="David" w:hint="cs"/>
          <w:noProof w:val="0"/>
          <w:rtl/>
        </w:rPr>
        <w:t xml:space="preserve">משום </w:t>
      </w:r>
      <w:r>
        <w:rPr>
          <w:rFonts w:ascii="David" w:hAnsi="David" w:hint="cs"/>
          <w:noProof w:val="0"/>
          <w:rtl/>
        </w:rPr>
        <w:t>חוסר תום לב.</w:t>
      </w:r>
    </w:p>
    <w:p w:rsidR="00831BB1" w:rsidRPr="008C1043" w:rsidRDefault="00831BB1" w:rsidP="00831BB1">
      <w:pPr>
        <w:spacing w:line="360" w:lineRule="auto"/>
        <w:jc w:val="both"/>
        <w:rPr>
          <w:rFonts w:ascii="David" w:hAnsi="David"/>
          <w:b/>
          <w:bCs/>
          <w:noProof w:val="0"/>
          <w:u w:val="single"/>
          <w:rtl/>
        </w:rPr>
      </w:pPr>
    </w:p>
    <w:p w:rsidR="00264D90" w:rsidRDefault="00264D90" w:rsidP="00264D90">
      <w:pPr>
        <w:spacing w:line="360" w:lineRule="auto"/>
        <w:ind w:left="720" w:hanging="720"/>
        <w:jc w:val="both"/>
        <w:rPr>
          <w:rFonts w:ascii="David" w:hAnsi="David"/>
          <w:b/>
          <w:bCs/>
          <w:noProof w:val="0"/>
          <w:u w:val="single"/>
          <w:rtl/>
        </w:rPr>
      </w:pPr>
      <w:r>
        <w:rPr>
          <w:rFonts w:ascii="David" w:hAnsi="David"/>
          <w:b/>
          <w:bCs/>
          <w:noProof w:val="0"/>
          <w:u w:val="single"/>
          <w:rtl/>
        </w:rPr>
        <w:t>סוף דבר</w:t>
      </w:r>
    </w:p>
    <w:p w:rsidR="00264D90" w:rsidRPr="008C1043" w:rsidRDefault="00264D90" w:rsidP="00FB4C7F">
      <w:pPr>
        <w:pStyle w:val="ad"/>
        <w:numPr>
          <w:ilvl w:val="0"/>
          <w:numId w:val="2"/>
        </w:numPr>
        <w:spacing w:line="360" w:lineRule="auto"/>
        <w:jc w:val="both"/>
        <w:rPr>
          <w:rFonts w:ascii="David" w:hAnsi="David"/>
          <w:noProof w:val="0"/>
        </w:rPr>
      </w:pPr>
      <w:r w:rsidRPr="008C1043">
        <w:rPr>
          <w:rFonts w:ascii="David" w:hAnsi="David"/>
          <w:noProof w:val="0"/>
          <w:rtl/>
        </w:rPr>
        <w:t>לאור כל האמור, אציע לחברי הו</w:t>
      </w:r>
      <w:r w:rsidR="00892FE9">
        <w:rPr>
          <w:rFonts w:ascii="David" w:hAnsi="David" w:hint="cs"/>
          <w:noProof w:val="0"/>
          <w:rtl/>
        </w:rPr>
        <w:t>ו</w:t>
      </w:r>
      <w:r w:rsidRPr="008C1043">
        <w:rPr>
          <w:rFonts w:ascii="David" w:hAnsi="David"/>
          <w:noProof w:val="0"/>
          <w:rtl/>
        </w:rPr>
        <w:t xml:space="preserve">עדה לדחות את הערר. </w:t>
      </w:r>
      <w:r w:rsidR="00FB4C7F">
        <w:rPr>
          <w:rFonts w:ascii="David" w:hAnsi="David" w:hint="cs"/>
          <w:noProof w:val="0"/>
          <w:rtl/>
        </w:rPr>
        <w:t xml:space="preserve">כן אמליץ לחייב את </w:t>
      </w:r>
      <w:r w:rsidRPr="008C1043">
        <w:rPr>
          <w:rFonts w:ascii="David" w:hAnsi="David"/>
          <w:noProof w:val="0"/>
          <w:rtl/>
        </w:rPr>
        <w:t>העוררים לשלם למשיב הוצאות ושכ"ט עו"ד בסכום כולל של 25,000 ₪ וזאת תוך 45 ימים מהיום. לאחר מועד זה יתווספו לסכום הנ"ל הפרשי הצמדה וריבית כחוק.</w:t>
      </w:r>
    </w:p>
    <w:p w:rsidR="00264D90" w:rsidRDefault="00264D90" w:rsidP="00264D90">
      <w:pPr>
        <w:spacing w:line="360" w:lineRule="auto"/>
        <w:jc w:val="both"/>
        <w:rPr>
          <w:rFonts w:ascii="David" w:hAnsi="David"/>
          <w:b/>
          <w:bCs/>
          <w:noProof w:val="0"/>
          <w:u w:val="single"/>
        </w:rPr>
      </w:pPr>
    </w:p>
    <w:p w:rsidR="00264D90" w:rsidRPr="00505E19" w:rsidRDefault="00264D90" w:rsidP="00082FC0">
      <w:pPr>
        <w:spacing w:line="360" w:lineRule="auto"/>
        <w:ind w:left="720" w:hanging="720"/>
        <w:jc w:val="both"/>
        <w:rPr>
          <w:rFonts w:ascii="David" w:hAnsi="David"/>
          <w:b/>
          <w:bCs/>
          <w:noProof w:val="0"/>
          <w:u w:val="single"/>
        </w:rPr>
      </w:pPr>
      <w:r w:rsidRPr="00505E19">
        <w:rPr>
          <w:rFonts w:ascii="David" w:hAnsi="David"/>
          <w:b/>
          <w:bCs/>
          <w:noProof w:val="0"/>
          <w:u w:val="single"/>
          <w:rtl/>
        </w:rPr>
        <w:t xml:space="preserve">חבר הועדה, </w:t>
      </w:r>
      <w:r w:rsidR="008C1043" w:rsidRPr="00505E19">
        <w:rPr>
          <w:rFonts w:ascii="David" w:hAnsi="David" w:hint="cs"/>
          <w:b/>
          <w:bCs/>
          <w:noProof w:val="0"/>
          <w:u w:val="single"/>
          <w:rtl/>
        </w:rPr>
        <w:t>רו"ח שלמה מדהלה</w:t>
      </w:r>
    </w:p>
    <w:p w:rsidR="00264D90" w:rsidRPr="00082FC0" w:rsidRDefault="00082FC0" w:rsidP="00264D90">
      <w:pPr>
        <w:spacing w:line="360" w:lineRule="auto"/>
        <w:jc w:val="both"/>
        <w:rPr>
          <w:rFonts w:ascii="David" w:hAnsi="David"/>
          <w:noProof w:val="0"/>
        </w:rPr>
      </w:pPr>
      <w:r w:rsidRPr="00082FC0">
        <w:rPr>
          <w:rFonts w:ascii="David" w:hAnsi="David" w:hint="cs"/>
          <w:noProof w:val="0"/>
          <w:rtl/>
        </w:rPr>
        <w:t xml:space="preserve">אני מסכים לפסק דינו של </w:t>
      </w:r>
      <w:r w:rsidR="00087748">
        <w:rPr>
          <w:rFonts w:ascii="David" w:hAnsi="David" w:hint="cs"/>
          <w:noProof w:val="0"/>
          <w:rtl/>
        </w:rPr>
        <w:t>יו"ר הוועדה, כב' השופט א' דורות.</w:t>
      </w:r>
    </w:p>
    <w:p w:rsidR="00264D90" w:rsidRPr="00082FC0" w:rsidRDefault="00264D90" w:rsidP="00264D90">
      <w:pPr>
        <w:spacing w:line="360" w:lineRule="auto"/>
        <w:jc w:val="both"/>
        <w:rPr>
          <w:rFonts w:ascii="David" w:hAnsi="David"/>
          <w:b/>
          <w:bCs/>
          <w:noProof w:val="0"/>
          <w:u w:val="single"/>
          <w:rtl/>
        </w:rPr>
      </w:pPr>
    </w:p>
    <w:p w:rsidR="00264D90" w:rsidRDefault="00264D90" w:rsidP="00082FC0">
      <w:pPr>
        <w:spacing w:line="360" w:lineRule="auto"/>
        <w:jc w:val="both"/>
        <w:rPr>
          <w:rFonts w:ascii="David" w:hAnsi="David"/>
          <w:b/>
          <w:bCs/>
          <w:noProof w:val="0"/>
          <w:u w:val="single"/>
          <w:rtl/>
        </w:rPr>
      </w:pPr>
      <w:r w:rsidRPr="00505E19">
        <w:rPr>
          <w:rFonts w:ascii="David" w:hAnsi="David"/>
          <w:b/>
          <w:bCs/>
          <w:noProof w:val="0"/>
          <w:u w:val="single"/>
          <w:rtl/>
        </w:rPr>
        <w:t xml:space="preserve">חברת הועדה, </w:t>
      </w:r>
      <w:r w:rsidR="008C1043" w:rsidRPr="00505E19">
        <w:rPr>
          <w:rFonts w:ascii="David" w:hAnsi="David" w:hint="cs"/>
          <w:b/>
          <w:bCs/>
          <w:noProof w:val="0"/>
          <w:u w:val="single"/>
          <w:rtl/>
        </w:rPr>
        <w:t>שמאית אריאלה אשקטיין</w:t>
      </w:r>
    </w:p>
    <w:p w:rsidR="00087748" w:rsidRPr="00087748" w:rsidRDefault="00087748" w:rsidP="00082FC0">
      <w:pPr>
        <w:spacing w:line="360" w:lineRule="auto"/>
        <w:jc w:val="both"/>
        <w:rPr>
          <w:rFonts w:ascii="David" w:hAnsi="David"/>
          <w:noProof w:val="0"/>
          <w:rtl/>
        </w:rPr>
      </w:pPr>
      <w:r w:rsidRPr="00087748">
        <w:rPr>
          <w:rFonts w:ascii="David" w:hAnsi="David" w:hint="cs"/>
          <w:noProof w:val="0"/>
          <w:rtl/>
        </w:rPr>
        <w:lastRenderedPageBreak/>
        <w:t>אני מצטרפת לפסק דינו של כב' השופט אביגדור דורות.</w:t>
      </w:r>
    </w:p>
    <w:p w:rsidR="00264D90" w:rsidRDefault="00264D90" w:rsidP="00264D90">
      <w:pPr>
        <w:spacing w:line="360" w:lineRule="auto"/>
        <w:ind w:left="720" w:hanging="720"/>
        <w:jc w:val="both"/>
        <w:rPr>
          <w:rFonts w:ascii="David" w:hAnsi="David"/>
          <w:b/>
          <w:bCs/>
          <w:noProof w:val="0"/>
          <w:u w:val="single"/>
          <w:rtl/>
        </w:rPr>
      </w:pPr>
    </w:p>
    <w:p w:rsidR="00505E19" w:rsidRPr="00505E19" w:rsidRDefault="00F50718" w:rsidP="00F50718">
      <w:pPr>
        <w:spacing w:line="360" w:lineRule="auto"/>
        <w:jc w:val="both"/>
        <w:rPr>
          <w:rFonts w:ascii="David" w:hAnsi="David"/>
          <w:noProof w:val="0"/>
          <w:rtl/>
        </w:rPr>
      </w:pPr>
      <w:r>
        <w:rPr>
          <w:rFonts w:ascii="David" w:hAnsi="David" w:hint="cs"/>
          <w:noProof w:val="0"/>
          <w:rtl/>
        </w:rPr>
        <w:t>כפועל יוצא מהאמור לעיל, הוחלט לדחות את הערר ולחייב את העוררים בהוצאות, כמפורט לעיל בפסקה 70.</w:t>
      </w:r>
    </w:p>
    <w:p w:rsidR="00264D90" w:rsidRDefault="00264D90" w:rsidP="00264D90">
      <w:pPr>
        <w:spacing w:line="360" w:lineRule="auto"/>
        <w:jc w:val="both"/>
        <w:rPr>
          <w:rFonts w:ascii="David" w:hAnsi="David"/>
          <w:noProof w:val="0"/>
          <w:rtl/>
        </w:rPr>
      </w:pPr>
    </w:p>
    <w:p w:rsidR="00264D90" w:rsidRDefault="00264D90" w:rsidP="00264D90">
      <w:pPr>
        <w:spacing w:line="360" w:lineRule="auto"/>
        <w:jc w:val="both"/>
        <w:rPr>
          <w:rFonts w:ascii="David" w:hAnsi="David"/>
          <w:b/>
          <w:bCs/>
          <w:noProof w:val="0"/>
          <w:u w:val="single"/>
          <w:rtl/>
        </w:rPr>
      </w:pPr>
      <w:r>
        <w:rPr>
          <w:rFonts w:ascii="David" w:hAnsi="David"/>
          <w:b/>
          <w:bCs/>
          <w:noProof w:val="0"/>
          <w:u w:val="single"/>
          <w:rtl/>
        </w:rPr>
        <w:t>המזכירות תמציא את פסק הדין לבאי כוח הצדדים.</w:t>
      </w:r>
    </w:p>
    <w:p w:rsidR="00694556" w:rsidRDefault="00694556">
      <w:pPr>
        <w:spacing w:line="360" w:lineRule="auto"/>
        <w:jc w:val="both"/>
        <w:rPr>
          <w:rFonts w:ascii="Arial" w:hAnsi="Arial"/>
          <w:noProof w:val="0"/>
          <w:rtl/>
        </w:rPr>
      </w:pPr>
    </w:p>
    <w:p w:rsidR="008800DE" w:rsidRDefault="008800DE" w:rsidP="00F50718">
      <w:pPr>
        <w:spacing w:line="360" w:lineRule="auto"/>
        <w:jc w:val="both"/>
        <w:rPr>
          <w:rFonts w:ascii="Arial" w:hAnsi="Arial"/>
          <w:noProof w:val="0"/>
          <w:rtl/>
        </w:rPr>
      </w:pPr>
      <w:r>
        <w:rPr>
          <w:rFonts w:ascii="Arial" w:hAnsi="Arial"/>
          <w:noProof w:val="0"/>
          <w:rtl/>
        </w:rPr>
        <w:t xml:space="preserve">ניתן היום,  </w:t>
      </w:r>
      <w:r w:rsidR="00F50718">
        <w:rPr>
          <w:rFonts w:ascii="Arial" w:hAnsi="Arial" w:hint="cs"/>
          <w:noProof w:val="0"/>
          <w:rtl/>
        </w:rPr>
        <w:t>י"א</w:t>
      </w:r>
      <w:r>
        <w:rPr>
          <w:rFonts w:ascii="Arial" w:hAnsi="Arial"/>
          <w:noProof w:val="0"/>
          <w:rtl/>
        </w:rPr>
        <w:t xml:space="preserve"> תשרי תשפ"ה, </w:t>
      </w:r>
      <w:r w:rsidR="00F50718">
        <w:rPr>
          <w:rFonts w:ascii="Arial" w:hAnsi="Arial" w:hint="cs"/>
          <w:noProof w:val="0"/>
          <w:rtl/>
        </w:rPr>
        <w:t>13</w:t>
      </w:r>
      <w:r>
        <w:rPr>
          <w:rFonts w:ascii="Arial" w:hAnsi="Arial"/>
          <w:noProof w:val="0"/>
          <w:rtl/>
        </w:rPr>
        <w:t xml:space="preserve"> אוקטובר 2024, בהעדר הצדדים.</w:t>
      </w:r>
    </w:p>
    <w:p w:rsidR="00A322ED" w:rsidRDefault="00A322ED" w:rsidP="001042B8">
      <w:pPr>
        <w:tabs>
          <w:tab w:val="left" w:pos="2553"/>
        </w:tabs>
        <w:rPr>
          <w:rFonts w:ascii="Arial" w:hAnsi="Arial"/>
          <w:rtl/>
        </w:rPr>
      </w:pPr>
    </w:p>
    <w:tbl>
      <w:tblPr>
        <w:tblStyle w:val="a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28"/>
        <w:gridCol w:w="236"/>
        <w:gridCol w:w="2736"/>
        <w:gridCol w:w="236"/>
        <w:gridCol w:w="2432"/>
      </w:tblGrid>
      <w:tr w:rsidR="00402E4E" w:rsidTr="001E0BE1">
        <w:trPr>
          <w:jc w:val="center"/>
        </w:trPr>
        <w:tc>
          <w:tcPr>
            <w:tcW w:w="2114" w:type="dxa"/>
            <w:tcBorders>
              <w:top w:val="nil"/>
              <w:left w:val="nil"/>
              <w:bottom w:val="single" w:sz="4" w:space="0" w:color="auto"/>
              <w:right w:val="nil"/>
            </w:tcBorders>
            <w:vAlign w:val="center"/>
            <w:hideMark/>
          </w:tcPr>
          <w:p w:rsidR="00402E4E" w:rsidRDefault="00402E4E">
            <w:pPr>
              <w:jc w:val="center"/>
              <w:rPr>
                <w:rFonts w:ascii="Calibri" w:hAnsi="Calibri" w:cs="Calibri"/>
                <w:sz w:val="22"/>
                <w:szCs w:val="22"/>
              </w:rPr>
            </w:pPr>
            <w:r>
              <w:rPr>
                <w:rFonts w:ascii="David" w:hAnsi="David"/>
              </w:rPr>
              <w:drawing>
                <wp:inline distT="0" distB="0" distL="0" distR="0">
                  <wp:extent cx="1468120" cy="571500"/>
                  <wp:effectExtent l="0" t="0" r="0" b="0"/>
                  <wp:docPr id="2" name="תמונה 2" descr="cid:image003.png@01DB1AF6.E0433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descr="cid:image003.png@01DB1AF6.E043372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1468120" cy="571500"/>
                          </a:xfrm>
                          <a:prstGeom prst="rect">
                            <a:avLst/>
                          </a:prstGeom>
                          <a:noFill/>
                          <a:ln>
                            <a:noFill/>
                          </a:ln>
                        </pic:spPr>
                      </pic:pic>
                    </a:graphicData>
                  </a:graphic>
                </wp:inline>
              </w:drawing>
            </w:r>
          </w:p>
        </w:tc>
        <w:tc>
          <w:tcPr>
            <w:tcW w:w="236" w:type="dxa"/>
            <w:vAlign w:val="center"/>
          </w:tcPr>
          <w:p w:rsidR="00402E4E" w:rsidRDefault="00402E4E">
            <w:pPr>
              <w:jc w:val="center"/>
              <w:rPr>
                <w:rFonts w:ascii="Courier New" w:hAnsi="Courier New"/>
                <w:b/>
                <w:bCs/>
              </w:rPr>
            </w:pPr>
          </w:p>
        </w:tc>
        <w:tc>
          <w:tcPr>
            <w:tcW w:w="2316" w:type="dxa"/>
            <w:tcBorders>
              <w:top w:val="nil"/>
              <w:left w:val="nil"/>
              <w:bottom w:val="single" w:sz="4" w:space="0" w:color="auto"/>
              <w:right w:val="nil"/>
            </w:tcBorders>
            <w:vAlign w:val="center"/>
          </w:tcPr>
          <w:p w:rsidR="00402E4E" w:rsidRDefault="00402E4E">
            <w:pPr>
              <w:jc w:val="center"/>
              <w:rPr>
                <w:rFonts w:ascii="Courier New" w:hAnsi="Courier New"/>
                <w:b/>
                <w:bCs/>
              </w:rPr>
            </w:pPr>
            <w:r>
              <w:drawing>
                <wp:inline distT="0" distB="0" distL="0" distR="0">
                  <wp:extent cx="1600200" cy="800100"/>
                  <wp:effectExtent l="0" t="0" r="0" b="0"/>
                  <wp:docPr id="5" name="תמונה 5" descr="054773106 שלמה מדהל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054773106 שלמה מדהלה"/>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1600200" cy="800100"/>
                          </a:xfrm>
                          <a:prstGeom prst="rect">
                            <a:avLst/>
                          </a:prstGeom>
                          <a:noFill/>
                          <a:ln>
                            <a:noFill/>
                          </a:ln>
                        </pic:spPr>
                      </pic:pic>
                    </a:graphicData>
                  </a:graphic>
                </wp:inline>
              </w:drawing>
            </w:r>
          </w:p>
        </w:tc>
        <w:tc>
          <w:tcPr>
            <w:tcW w:w="236" w:type="dxa"/>
            <w:vAlign w:val="center"/>
          </w:tcPr>
          <w:p w:rsidR="00402E4E" w:rsidRDefault="00402E4E">
            <w:pPr>
              <w:jc w:val="center"/>
              <w:rPr>
                <w:rFonts w:ascii="Courier New" w:hAnsi="Courier New"/>
                <w:b/>
                <w:bCs/>
                <w:rtl/>
              </w:rPr>
            </w:pPr>
          </w:p>
        </w:tc>
        <w:tc>
          <w:tcPr>
            <w:tcW w:w="2432" w:type="dxa"/>
            <w:tcBorders>
              <w:top w:val="nil"/>
              <w:left w:val="nil"/>
              <w:bottom w:val="single" w:sz="4" w:space="0" w:color="auto"/>
              <w:right w:val="nil"/>
            </w:tcBorders>
            <w:vAlign w:val="center"/>
          </w:tcPr>
          <w:p w:rsidR="00402E4E" w:rsidRDefault="00402E4E" w:rsidP="00F6305B">
            <w:pPr>
              <w:rPr>
                <w:rFonts w:ascii="Calibri" w:hAnsi="Calibri" w:cs="Calibri"/>
                <w:sz w:val="22"/>
                <w:szCs w:val="22"/>
              </w:rPr>
            </w:pPr>
            <w:r>
              <w:drawing>
                <wp:anchor distT="0" distB="0" distL="114300" distR="114300" simplePos="0" relativeHeight="251659264" behindDoc="0" locked="0" layoutInCell="1" allowOverlap="1">
                  <wp:simplePos x="0" y="0"/>
                  <wp:positionH relativeFrom="margin">
                    <wp:posOffset>93980</wp:posOffset>
                  </wp:positionH>
                  <wp:positionV relativeFrom="margin">
                    <wp:posOffset>43815</wp:posOffset>
                  </wp:positionV>
                  <wp:extent cx="1102360" cy="729615"/>
                  <wp:effectExtent l="0" t="0" r="2540" b="0"/>
                  <wp:wrapNone/>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29" cstate="print">
                            <a:extLst>
                              <a:ext uri="{28A0092B-C50C-407E-A947-70E740481C1C}">
                                <a14:useLocalDpi xmlns:a14="http://schemas.microsoft.com/office/drawing/2010/main" val="0"/>
                              </a:ext>
                            </a:extLst>
                          </a:blip>
                          <a:srcRect l="51093" t="26245" r="25731" b="58926"/>
                          <a:stretch>
                            <a:fillRect/>
                          </a:stretch>
                        </pic:blipFill>
                        <pic:spPr bwMode="auto">
                          <a:xfrm>
                            <a:off x="0" y="0"/>
                            <a:ext cx="1102360" cy="729615"/>
                          </a:xfrm>
                          <a:prstGeom prst="rect">
                            <a:avLst/>
                          </a:prstGeom>
                          <a:noFill/>
                        </pic:spPr>
                      </pic:pic>
                    </a:graphicData>
                  </a:graphic>
                  <wp14:sizeRelH relativeFrom="margin">
                    <wp14:pctWidth>0</wp14:pctWidth>
                  </wp14:sizeRelH>
                  <wp14:sizeRelV relativeFrom="margin">
                    <wp14:pctHeight>0</wp14:pctHeight>
                  </wp14:sizeRelV>
                </wp:anchor>
              </w:drawing>
            </w:r>
          </w:p>
        </w:tc>
      </w:tr>
      <w:tr w:rsidR="00402E4E" w:rsidTr="001E0BE1">
        <w:trPr>
          <w:jc w:val="center"/>
        </w:trPr>
        <w:tc>
          <w:tcPr>
            <w:tcW w:w="2114" w:type="dxa"/>
            <w:tcBorders>
              <w:top w:val="single" w:sz="4" w:space="0" w:color="auto"/>
              <w:left w:val="nil"/>
              <w:bottom w:val="nil"/>
              <w:right w:val="nil"/>
            </w:tcBorders>
            <w:hideMark/>
          </w:tcPr>
          <w:p w:rsidR="00402E4E" w:rsidRDefault="00402E4E">
            <w:pPr>
              <w:jc w:val="center"/>
              <w:rPr>
                <w:b/>
                <w:bCs/>
                <w:sz w:val="26"/>
                <w:szCs w:val="26"/>
              </w:rPr>
            </w:pPr>
            <w:r>
              <w:rPr>
                <w:b/>
                <w:bCs/>
                <w:sz w:val="26"/>
                <w:szCs w:val="26"/>
                <w:rtl/>
              </w:rPr>
              <w:t>אביגדור דורות, שופט</w:t>
            </w:r>
          </w:p>
          <w:p w:rsidR="00402E4E" w:rsidRDefault="00402E4E" w:rsidP="00D25D8F">
            <w:pPr>
              <w:jc w:val="center"/>
              <w:rPr>
                <w:b/>
                <w:bCs/>
                <w:sz w:val="26"/>
                <w:szCs w:val="26"/>
              </w:rPr>
            </w:pPr>
            <w:r>
              <w:rPr>
                <w:b/>
                <w:bCs/>
                <w:sz w:val="26"/>
                <w:szCs w:val="26"/>
                <w:rtl/>
              </w:rPr>
              <w:t>יו"</w:t>
            </w:r>
            <w:r>
              <w:rPr>
                <w:rFonts w:hint="cs"/>
                <w:b/>
                <w:bCs/>
                <w:sz w:val="26"/>
                <w:szCs w:val="26"/>
                <w:rtl/>
              </w:rPr>
              <w:t>ר</w:t>
            </w:r>
          </w:p>
        </w:tc>
        <w:tc>
          <w:tcPr>
            <w:tcW w:w="236" w:type="dxa"/>
          </w:tcPr>
          <w:p w:rsidR="00402E4E" w:rsidRDefault="00402E4E">
            <w:pPr>
              <w:jc w:val="center"/>
              <w:rPr>
                <w:b/>
                <w:bCs/>
                <w:color w:val="FF0000"/>
                <w:sz w:val="26"/>
                <w:szCs w:val="26"/>
                <w:rtl/>
              </w:rPr>
            </w:pPr>
          </w:p>
        </w:tc>
        <w:tc>
          <w:tcPr>
            <w:tcW w:w="2316" w:type="dxa"/>
            <w:tcBorders>
              <w:top w:val="single" w:sz="4" w:space="0" w:color="auto"/>
              <w:left w:val="nil"/>
              <w:bottom w:val="nil"/>
              <w:right w:val="nil"/>
            </w:tcBorders>
          </w:tcPr>
          <w:p w:rsidR="00402E4E" w:rsidRDefault="00402E4E">
            <w:pPr>
              <w:pStyle w:val="3"/>
              <w:spacing w:line="240" w:lineRule="auto"/>
              <w:jc w:val="center"/>
              <w:outlineLvl w:val="2"/>
              <w:rPr>
                <w:sz w:val="26"/>
                <w:szCs w:val="26"/>
              </w:rPr>
            </w:pPr>
            <w:r w:rsidRPr="00F6305B">
              <w:rPr>
                <w:noProof w:val="0"/>
                <w:sz w:val="26"/>
                <w:szCs w:val="26"/>
                <w:rtl/>
              </w:rPr>
              <w:t>רו"ח שלמה מדהלה</w:t>
            </w:r>
            <w:r>
              <w:rPr>
                <w:rFonts w:ascii="David" w:hAnsi="David"/>
                <w:b w:val="0"/>
                <w:bCs w:val="0"/>
                <w:sz w:val="26"/>
                <w:szCs w:val="26"/>
                <w:rtl/>
              </w:rPr>
              <w:t>,</w:t>
            </w:r>
          </w:p>
          <w:p w:rsidR="00402E4E" w:rsidRDefault="00402E4E">
            <w:pPr>
              <w:pStyle w:val="3"/>
              <w:spacing w:line="240" w:lineRule="auto"/>
              <w:jc w:val="center"/>
              <w:outlineLvl w:val="2"/>
              <w:rPr>
                <w:sz w:val="26"/>
                <w:szCs w:val="26"/>
                <w:rtl/>
              </w:rPr>
            </w:pPr>
            <w:r>
              <w:rPr>
                <w:sz w:val="26"/>
                <w:szCs w:val="26"/>
                <w:rtl/>
              </w:rPr>
              <w:t>חבר ועדה</w:t>
            </w:r>
          </w:p>
        </w:tc>
        <w:tc>
          <w:tcPr>
            <w:tcW w:w="236" w:type="dxa"/>
          </w:tcPr>
          <w:p w:rsidR="00402E4E" w:rsidRDefault="00402E4E">
            <w:pPr>
              <w:jc w:val="center"/>
              <w:rPr>
                <w:b/>
                <w:bCs/>
                <w:color w:val="FF0000"/>
                <w:sz w:val="26"/>
                <w:szCs w:val="26"/>
                <w:rtl/>
              </w:rPr>
            </w:pPr>
          </w:p>
        </w:tc>
        <w:tc>
          <w:tcPr>
            <w:tcW w:w="2432" w:type="dxa"/>
            <w:tcBorders>
              <w:top w:val="single" w:sz="4" w:space="0" w:color="auto"/>
              <w:left w:val="nil"/>
              <w:bottom w:val="nil"/>
              <w:right w:val="nil"/>
            </w:tcBorders>
            <w:hideMark/>
          </w:tcPr>
          <w:p w:rsidR="00402E4E" w:rsidRDefault="00402E4E" w:rsidP="00F6305B">
            <w:pPr>
              <w:jc w:val="center"/>
              <w:rPr>
                <w:b/>
                <w:bCs/>
                <w:sz w:val="26"/>
                <w:szCs w:val="26"/>
              </w:rPr>
            </w:pPr>
            <w:r w:rsidRPr="00F6305B">
              <w:rPr>
                <w:b/>
                <w:bCs/>
                <w:sz w:val="26"/>
                <w:szCs w:val="26"/>
                <w:rtl/>
              </w:rPr>
              <w:t>אריאלה אקשטיין</w:t>
            </w:r>
            <w:r>
              <w:rPr>
                <w:rFonts w:ascii="David" w:hAnsi="David"/>
                <w:b/>
                <w:bCs/>
                <w:color w:val="000000"/>
                <w:rtl/>
              </w:rPr>
              <w:t>,</w:t>
            </w:r>
          </w:p>
          <w:p w:rsidR="00402E4E" w:rsidRDefault="00402E4E">
            <w:pPr>
              <w:jc w:val="center"/>
              <w:rPr>
                <w:b/>
                <w:bCs/>
                <w:sz w:val="26"/>
                <w:szCs w:val="26"/>
              </w:rPr>
            </w:pPr>
            <w:r>
              <w:rPr>
                <w:b/>
                <w:bCs/>
                <w:sz w:val="26"/>
                <w:szCs w:val="26"/>
                <w:rtl/>
              </w:rPr>
              <w:t>חבר</w:t>
            </w:r>
            <w:r>
              <w:rPr>
                <w:rFonts w:hint="cs"/>
                <w:b/>
                <w:bCs/>
                <w:sz w:val="26"/>
                <w:szCs w:val="26"/>
                <w:rtl/>
              </w:rPr>
              <w:t>ת</w:t>
            </w:r>
            <w:r>
              <w:rPr>
                <w:b/>
                <w:bCs/>
                <w:sz w:val="26"/>
                <w:szCs w:val="26"/>
                <w:rtl/>
              </w:rPr>
              <w:t xml:space="preserve"> ועדה</w:t>
            </w:r>
          </w:p>
        </w:tc>
      </w:tr>
    </w:tbl>
    <w:p w:rsidR="00402E4E" w:rsidRDefault="00402E4E" w:rsidP="001E0BE1"/>
    <w:p w:rsidR="00402E4E" w:rsidRDefault="00402E4E">
      <w:pPr>
        <w:jc w:val="center"/>
        <w:rPr>
          <w:rtl/>
        </w:rPr>
      </w:pPr>
    </w:p>
    <w:p w:rsidR="00A322ED" w:rsidRDefault="00A322ED" w:rsidP="001042B8">
      <w:pPr>
        <w:tabs>
          <w:tab w:val="left" w:pos="2553"/>
        </w:tabs>
        <w:rPr>
          <w:rFonts w:ascii="Arial" w:hAnsi="Arial"/>
        </w:rPr>
      </w:pPr>
    </w:p>
    <w:p w:rsidR="00A322ED" w:rsidRDefault="00A322ED" w:rsidP="001042B8">
      <w:pPr>
        <w:tabs>
          <w:tab w:val="left" w:pos="2553"/>
        </w:tabs>
        <w:rPr>
          <w:rFonts w:ascii="Arial" w:hAnsi="Arial"/>
          <w:rtl/>
        </w:rPr>
      </w:pPr>
    </w:p>
    <w:p w:rsidR="00A322ED" w:rsidRPr="001042B8" w:rsidRDefault="00A322ED" w:rsidP="001042B8"/>
    <w:p w:rsidR="00A322ED" w:rsidRDefault="00A322ED" w:rsidP="007D5F04"/>
    <w:sectPr w:rsidR="00A322ED" w:rsidSect="00903896">
      <w:headerReference w:type="default" r:id="rId30"/>
      <w:footerReference w:type="default" r:id="rId3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779" w:rsidRDefault="008E1779">
      <w:r>
        <w:separator/>
      </w:r>
    </w:p>
  </w:endnote>
  <w:endnote w:type="continuationSeparator" w:id="0">
    <w:p w:rsidR="008E1779" w:rsidRDefault="008E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3944DB">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B1F6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B1F61">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779" w:rsidRDefault="008E1779">
      <w:r>
        <w:separator/>
      </w:r>
    </w:p>
  </w:footnote>
  <w:footnote w:type="continuationSeparator" w:id="0">
    <w:p w:rsidR="008E1779" w:rsidRDefault="008E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23BF">
    <w:pPr>
      <w:pStyle w:val="a3"/>
      <w:jc w:val="center"/>
      <w:rPr>
        <w:rFonts w:cs="FrankRuehl"/>
        <w:noProof w:val="0"/>
        <w:sz w:val="28"/>
        <w:szCs w:val="28"/>
        <w:rtl/>
      </w:rPr>
    </w:pPr>
    <w:r>
      <w:rPr>
        <w:rFonts w:cs="FrankRuehl"/>
        <w:sz w:val="28"/>
        <w:szCs w:val="28"/>
      </w:rPr>
      <w:drawing>
        <wp:inline distT="0" distB="0" distL="0" distR="0" wp14:anchorId="1968DCB3" wp14:editId="66E76CBB">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8505" w:type="dxa"/>
      <w:tblInd w:w="14" w:type="dxa"/>
      <w:tblLook w:val="0000" w:firstRow="0" w:lastRow="0" w:firstColumn="0" w:lastColumn="0" w:noHBand="0" w:noVBand="0"/>
    </w:tblPr>
    <w:tblGrid>
      <w:gridCol w:w="8505"/>
    </w:tblGrid>
    <w:tr w:rsidR="00694556" w:rsidTr="00DB62C1">
      <w:trPr>
        <w:trHeight w:hRule="exact" w:val="849"/>
      </w:trPr>
      <w:tc>
        <w:tcPr>
          <w:tcW w:w="8505" w:type="dxa"/>
        </w:tcPr>
        <w:p w:rsidR="00DB62C1" w:rsidRDefault="00DB62C1">
          <w:pPr>
            <w:pStyle w:val="a3"/>
            <w:jc w:val="center"/>
            <w:rPr>
              <w:rFonts w:ascii="Tahoma" w:hAnsi="Tahoma" w:cs="Tahoma"/>
              <w:b/>
              <w:bCs/>
              <w:noProof w:val="0"/>
              <w:color w:val="000080"/>
              <w:rtl/>
            </w:rPr>
          </w:pPr>
        </w:p>
        <w:p w:rsidR="00694556" w:rsidRDefault="00500FED" w:rsidP="00DB62C1">
          <w:pPr>
            <w:pStyle w:val="a3"/>
            <w:jc w:val="center"/>
            <w:rPr>
              <w:rFonts w:ascii="Tahoma" w:hAnsi="Tahoma" w:cs="Tahoma"/>
              <w:noProof w:val="0"/>
              <w:color w:val="000080"/>
              <w:rtl/>
            </w:rPr>
          </w:pPr>
          <w:r>
            <w:rPr>
              <w:rFonts w:ascii="Tahoma" w:hAnsi="Tahoma" w:cs="Tahoma" w:hint="cs"/>
              <w:b/>
              <w:bCs/>
              <w:noProof w:val="0"/>
              <w:color w:val="000080"/>
              <w:rtl/>
            </w:rPr>
            <w:t xml:space="preserve"> </w:t>
          </w:r>
          <w:r w:rsidR="0065106A">
            <w:rPr>
              <w:rFonts w:ascii="Tahoma" w:hAnsi="Tahoma" w:cs="Tahoma" w:hint="cs"/>
              <w:b/>
              <w:bCs/>
              <w:noProof w:val="0"/>
              <w:color w:val="000080"/>
              <w:rtl/>
            </w:rPr>
            <w:t xml:space="preserve">וועדת ערר </w:t>
          </w:r>
          <w:r w:rsidR="00DB62C1">
            <w:rPr>
              <w:rFonts w:ascii="Tahoma" w:hAnsi="Tahoma" w:cs="Tahoma" w:hint="cs"/>
              <w:b/>
              <w:bCs/>
              <w:noProof w:val="0"/>
              <w:color w:val="000080"/>
              <w:rtl/>
            </w:rPr>
            <w:t>לעניין</w:t>
          </w:r>
          <w:r w:rsidR="0065106A">
            <w:rPr>
              <w:rFonts w:ascii="Tahoma" w:hAnsi="Tahoma" w:cs="Tahoma" w:hint="cs"/>
              <w:b/>
              <w:bCs/>
              <w:noProof w:val="0"/>
              <w:color w:val="000080"/>
              <w:rtl/>
            </w:rPr>
            <w:t xml:space="preserve"> </w:t>
          </w:r>
          <w:r>
            <w:rPr>
              <w:rFonts w:ascii="Tahoma" w:hAnsi="Tahoma" w:cs="Tahoma" w:hint="cs"/>
              <w:b/>
              <w:bCs/>
              <w:noProof w:val="0"/>
              <w:color w:val="000080"/>
              <w:rtl/>
            </w:rPr>
            <w:t xml:space="preserve">חוק </w:t>
          </w:r>
          <w:r w:rsidR="0065106A">
            <w:rPr>
              <w:rFonts w:ascii="Tahoma" w:hAnsi="Tahoma" w:cs="Tahoma" w:hint="cs"/>
              <w:b/>
              <w:bCs/>
              <w:noProof w:val="0"/>
              <w:color w:val="000080"/>
              <w:rtl/>
            </w:rPr>
            <w:t>מיסוי מקרקעין</w:t>
          </w:r>
          <w:r w:rsidR="00DA3A8A">
            <w:rPr>
              <w:rFonts w:ascii="Tahoma" w:hAnsi="Tahoma" w:cs="Tahoma" w:hint="cs"/>
              <w:noProof w:val="0"/>
              <w:color w:val="000080"/>
              <w:rtl/>
            </w:rPr>
            <w:t xml:space="preserve"> </w:t>
          </w:r>
          <w:r w:rsidR="00DA3A8A" w:rsidRPr="00DA3A8A">
            <w:rPr>
              <w:rFonts w:ascii="Tahoma" w:hAnsi="Tahoma" w:cs="Tahoma" w:hint="cs"/>
              <w:b/>
              <w:bCs/>
              <w:noProof w:val="0"/>
              <w:color w:val="000080"/>
              <w:rtl/>
            </w:rPr>
            <w:t>(שבח ורכישה)</w:t>
          </w:r>
        </w:p>
        <w:p w:rsidR="00500FED" w:rsidRPr="00BD1BB3" w:rsidRDefault="00500FED" w:rsidP="00DB62C1">
          <w:pPr>
            <w:pStyle w:val="a3"/>
            <w:jc w:val="center"/>
            <w:rPr>
              <w:rFonts w:ascii="Tahoma" w:hAnsi="Tahoma" w:cs="Tahoma"/>
              <w:b/>
              <w:bCs/>
              <w:noProof w:val="0"/>
              <w:color w:val="000080"/>
              <w:rtl/>
            </w:rPr>
          </w:pPr>
          <w:r w:rsidRPr="00BD1BB3">
            <w:rPr>
              <w:rFonts w:ascii="Tahoma" w:hAnsi="Tahoma" w:cs="Tahoma" w:hint="cs"/>
              <w:b/>
              <w:bCs/>
              <w:noProof w:val="0"/>
              <w:color w:val="000080"/>
              <w:rtl/>
            </w:rPr>
            <w:t>בבית המשפט המחוזי בירושלים</w:t>
          </w:r>
        </w:p>
      </w:tc>
    </w:tr>
    <w:tr w:rsidR="00694556" w:rsidTr="00DB62C1">
      <w:trPr>
        <w:trHeight w:val="337"/>
      </w:trPr>
      <w:tc>
        <w:tcPr>
          <w:tcW w:w="8505" w:type="dxa"/>
        </w:tcPr>
        <w:p w:rsidR="00DB62C1" w:rsidRPr="00500FED" w:rsidRDefault="00DB62C1">
          <w:pPr>
            <w:rPr>
              <w:rtl/>
            </w:rPr>
          </w:pPr>
        </w:p>
        <w:p w:rsidR="00694556" w:rsidRDefault="008E1779">
          <w:pPr>
            <w:rPr>
              <w:b/>
              <w:bCs/>
              <w:noProof w:val="0"/>
              <w:sz w:val="26"/>
              <w:szCs w:val="26"/>
              <w:rtl/>
            </w:rPr>
          </w:pPr>
          <w:sdt>
            <w:sdtPr>
              <w:rPr>
                <w:rtl/>
              </w:rPr>
              <w:alias w:val="1170"/>
              <w:tag w:val="1170"/>
              <w:id w:val="-439763973"/>
              <w:text w:multiLine="1"/>
            </w:sdtPr>
            <w:sdtEndPr/>
            <w:sdtContent>
              <w:r w:rsidR="00986101">
                <w:rPr>
                  <w:b/>
                  <w:bCs/>
                  <w:noProof w:val="0"/>
                  <w:sz w:val="26"/>
                  <w:szCs w:val="26"/>
                  <w:rtl/>
                </w:rPr>
                <w:t>ו"ע</w:t>
              </w:r>
            </w:sdtContent>
          </w:sdt>
          <w:r w:rsidR="00005C8B">
            <w:rPr>
              <w:b/>
              <w:bCs/>
              <w:noProof w:val="0"/>
              <w:sz w:val="26"/>
              <w:szCs w:val="26"/>
              <w:rtl/>
            </w:rPr>
            <w:t xml:space="preserve"> </w:t>
          </w:r>
          <w:sdt>
            <w:sdtPr>
              <w:rPr>
                <w:rtl/>
              </w:rPr>
              <w:alias w:val="1171"/>
              <w:tag w:val="1171"/>
              <w:id w:val="-418721140"/>
              <w:text w:multiLine="1"/>
            </w:sdtPr>
            <w:sdtEndPr/>
            <w:sdtContent>
              <w:r w:rsidR="00986101">
                <w:rPr>
                  <w:b/>
                  <w:bCs/>
                  <w:noProof w:val="0"/>
                  <w:sz w:val="26"/>
                  <w:szCs w:val="26"/>
                  <w:rtl/>
                </w:rPr>
                <w:t>34243-03-21</w:t>
              </w:r>
            </w:sdtContent>
          </w:sdt>
          <w:r w:rsidR="00005C8B">
            <w:rPr>
              <w:b/>
              <w:bCs/>
              <w:noProof w:val="0"/>
              <w:sz w:val="26"/>
              <w:szCs w:val="26"/>
              <w:rtl/>
            </w:rPr>
            <w:t xml:space="preserve"> </w:t>
          </w:r>
          <w:sdt>
            <w:sdtPr>
              <w:rPr>
                <w:rtl/>
              </w:rPr>
              <w:alias w:val="1172"/>
              <w:tag w:val="1172"/>
              <w:id w:val="-1527558386"/>
              <w:text w:multiLine="1"/>
            </w:sdtPr>
            <w:sdtEndPr/>
            <w:sdtContent>
              <w:r w:rsidR="00986101">
                <w:rPr>
                  <w:b/>
                  <w:bCs/>
                  <w:noProof w:val="0"/>
                  <w:sz w:val="26"/>
                  <w:szCs w:val="26"/>
                  <w:rtl/>
                </w:rPr>
                <w:t>אלמליח ואח' נ' מנהל מיסוי מקרקעין ירושלים</w:t>
              </w:r>
            </w:sdtContent>
          </w:sdt>
        </w:p>
        <w:p w:rsidR="00694556" w:rsidRDefault="00694556">
          <w:pPr>
            <w:rPr>
              <w:rtl/>
            </w:rPr>
          </w:pPr>
        </w:p>
        <w:p w:rsidR="00552F85" w:rsidRDefault="00552F85">
          <w:pPr>
            <w:rPr>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10926364"/>
    <w:multiLevelType w:val="hybridMultilevel"/>
    <w:tmpl w:val="78E0C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A61F38"/>
    <w:multiLevelType w:val="hybridMultilevel"/>
    <w:tmpl w:val="9AC2A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477EC7"/>
    <w:multiLevelType w:val="hybridMultilevel"/>
    <w:tmpl w:val="5A46B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D361AF"/>
    <w:multiLevelType w:val="hybridMultilevel"/>
    <w:tmpl w:val="ABA2EDAA"/>
    <w:lvl w:ilvl="0" w:tplc="3606ED4A">
      <w:start w:val="1"/>
      <w:numFmt w:val="decimal"/>
      <w:lvlText w:val="%1."/>
      <w:lvlJc w:val="left"/>
      <w:pPr>
        <w:ind w:left="720" w:hanging="360"/>
      </w:pPr>
      <w:rPr>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65B050D"/>
    <w:multiLevelType w:val="hybridMultilevel"/>
    <w:tmpl w:val="069AB440"/>
    <w:lvl w:ilvl="0" w:tplc="BC16406E">
      <w:start w:val="1"/>
      <w:numFmt w:val="decimal"/>
      <w:lvlText w:val="(%1)"/>
      <w:lvlJc w:val="left"/>
      <w:pPr>
        <w:ind w:left="1777" w:hanging="360"/>
      </w:pPr>
    </w:lvl>
    <w:lvl w:ilvl="1" w:tplc="04090019">
      <w:start w:val="1"/>
      <w:numFmt w:val="lowerLetter"/>
      <w:lvlText w:val="%2."/>
      <w:lvlJc w:val="left"/>
      <w:pPr>
        <w:ind w:left="2497" w:hanging="360"/>
      </w:pPr>
    </w:lvl>
    <w:lvl w:ilvl="2" w:tplc="0409001B">
      <w:start w:val="1"/>
      <w:numFmt w:val="lowerRoman"/>
      <w:lvlText w:val="%3."/>
      <w:lvlJc w:val="right"/>
      <w:pPr>
        <w:ind w:left="3217" w:hanging="180"/>
      </w:pPr>
    </w:lvl>
    <w:lvl w:ilvl="3" w:tplc="0409000F">
      <w:start w:val="1"/>
      <w:numFmt w:val="decimal"/>
      <w:lvlText w:val="%4."/>
      <w:lvlJc w:val="left"/>
      <w:pPr>
        <w:ind w:left="3937" w:hanging="360"/>
      </w:pPr>
    </w:lvl>
    <w:lvl w:ilvl="4" w:tplc="04090019">
      <w:start w:val="1"/>
      <w:numFmt w:val="lowerLetter"/>
      <w:lvlText w:val="%5."/>
      <w:lvlJc w:val="left"/>
      <w:pPr>
        <w:ind w:left="4657" w:hanging="360"/>
      </w:pPr>
    </w:lvl>
    <w:lvl w:ilvl="5" w:tplc="0409001B">
      <w:start w:val="1"/>
      <w:numFmt w:val="lowerRoman"/>
      <w:lvlText w:val="%6."/>
      <w:lvlJc w:val="right"/>
      <w:pPr>
        <w:ind w:left="5377" w:hanging="180"/>
      </w:pPr>
    </w:lvl>
    <w:lvl w:ilvl="6" w:tplc="0409000F">
      <w:start w:val="1"/>
      <w:numFmt w:val="decimal"/>
      <w:lvlText w:val="%7."/>
      <w:lvlJc w:val="left"/>
      <w:pPr>
        <w:ind w:left="6097" w:hanging="360"/>
      </w:pPr>
    </w:lvl>
    <w:lvl w:ilvl="7" w:tplc="04090019">
      <w:start w:val="1"/>
      <w:numFmt w:val="lowerLetter"/>
      <w:lvlText w:val="%8."/>
      <w:lvlJc w:val="left"/>
      <w:pPr>
        <w:ind w:left="6817" w:hanging="360"/>
      </w:pPr>
    </w:lvl>
    <w:lvl w:ilvl="8" w:tplc="0409001B">
      <w:start w:val="1"/>
      <w:numFmt w:val="lowerRoman"/>
      <w:lvlText w:val="%9."/>
      <w:lvlJc w:val="right"/>
      <w:pPr>
        <w:ind w:left="7537" w:hanging="180"/>
      </w:pPr>
    </w:lvl>
  </w:abstractNum>
  <w:abstractNum w:abstractNumId="6" w15:restartNumberingAfterBreak="0">
    <w:nsid w:val="7EDB75C5"/>
    <w:multiLevelType w:val="hybridMultilevel"/>
    <w:tmpl w:val="78E0C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1"/>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8521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185216&amp;lt;/CaseID&amp;gt;_x000d__x000a_        &amp;lt;CaseMonth&amp;gt;3&amp;lt;/CaseMonth&amp;gt;_x000d__x000a_        &amp;lt;CaseYear&amp;gt;2021&amp;lt;/CaseYear&amp;gt;_x000d__x000a_        &amp;lt;CaseNumber&amp;gt;34243&amp;lt;/CaseNumber&amp;gt;_x000d__x000a_        &amp;lt;NumeratorGroupID&amp;gt;1&amp;lt;/NumeratorGroupID&amp;gt;_x000d__x000a_        &amp;lt;CaseName&amp;gt;אלמליח ואח&amp;#39; נ&amp;#39; מנהל מיסוי מקרקעין ירושלים&amp;lt;/CaseName&amp;gt;_x000d__x000a_        &amp;lt;CourtID&amp;gt;14&amp;lt;/CourtID&amp;gt;_x000d__x000a_        &amp;lt;CaseTypeID&amp;gt;14&amp;lt;/CaseTypeID&amp;gt;_x000d__x000a_        &amp;lt;CaseInterestID&amp;gt;28&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34243-03-21&amp;lt;/CaseDisplayIdentifier&amp;gt;_x000d__x000a_        &amp;lt;CaseTypeDesc&amp;gt;ו&amp;quot;ע&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1-03-16T07:00:00+02:00&amp;lt;/CaseOpenDate&amp;gt;_x000d__x000a_        &amp;lt;PleaTypeID&amp;gt;18&amp;lt;/PleaTypeID&amp;gt;_x000d__x000a_        &amp;lt;CourtLevelID&amp;gt;2&amp;lt;/CourtLevelID&amp;gt;_x000d__x000a_        &amp;lt;CourtLevelCaseTypeInterestID&amp;gt;1151&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בארו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185216&amp;lt;/CaseID&amp;gt;_x000d__x000a_        &amp;lt;CaseMonth&amp;gt;3&amp;lt;/CaseMonth&amp;gt;_x000d__x000a_        &amp;lt;CaseYear&amp;gt;2021&amp;lt;/CaseYear&amp;gt;_x000d__x000a_        &amp;lt;CaseNumber&amp;gt;34243&amp;lt;/CaseNumber&amp;gt;_x000d__x000a_        &amp;lt;NumeratorGroupID&amp;gt;1&amp;lt;/NumeratorGroupID&amp;gt;_x000d__x000a_        &amp;lt;CaseName&amp;gt;אלמליח ואח&amp;#39; נ&amp;#39; מנהל מיסוי מקרקעין ירושלים&amp;lt;/CaseName&amp;gt;_x000d__x000a_        &amp;lt;CourtID&amp;gt;14&amp;lt;/CourtID&amp;gt;_x000d__x000a_        &amp;lt;CaseTypeID&amp;gt;14&amp;lt;/CaseTypeID&amp;gt;_x000d__x000a_        &amp;lt;CaseInterestID&amp;gt;28&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34243-03-21&amp;lt;/CaseDisplayIdentifier&amp;gt;_x000d__x000a_        &amp;lt;CaseTypeDesc&amp;gt;ו&amp;quot;ע&amp;lt;/CaseTypeDesc&amp;gt;_x000d__x000a_        &amp;lt;CourtDesc&amp;gt;המחוזי ירושלים&amp;lt;/CourtDesc&amp;gt;_x000d__x000a_        &amp;lt;CaseStageDesc&amp;gt;תיק אלקטרוני&amp;lt;/CaseStageDesc&amp;gt;_x000d__x000a_        &amp;lt;CaseNextDeterminingTask&amp;gt;141&amp;lt;/CaseNextDeterminingTask&amp;gt;_x000d__x000a_        &amp;lt;CaseOpenDate&amp;gt;2021-03-16T07:00:00+02:00&amp;lt;/CaseOpenDate&amp;gt;_x000d__x000a_        &amp;lt;PleaTypeID&amp;gt;18&amp;lt;/PleaTypeID&amp;gt;_x000d__x000a_        &amp;lt;CourtLevelID&amp;gt;2&amp;lt;/CourtLevelID&amp;gt;_x000d__x000a_        &amp;lt;CourtLevelCaseTypeInterestID&amp;gt;1151&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באר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338619&amp;lt;/DecisionID&amp;gt;_x000d__x000a_        &amp;lt;DecisionName&amp;gt;פסק דין  שניתנה ע&amp;quot;י  אביגדור דורות&amp;lt;/DecisionName&amp;gt;_x000d__x000a_        &amp;lt;DecisionStatusID&amp;gt;1&amp;lt;/DecisionStatusID&amp;gt;_x000d__x000a_        &amp;lt;DecisionStatusChangeDate&amp;gt;2024-10-13T11:19:25.127+03:00&amp;lt;/DecisionStatusChangeDate&amp;gt;_x000d__x000a_        &amp;lt;DecisionSignatureDate&amp;gt;2024-10-07T12:44:32.127+03:00&amp;lt;/DecisionSignatureDate&amp;gt;_x000d__x000a_        &amp;lt;DecisionSignatureUserID&amp;gt;055121115@GOV.IL&amp;lt;/DecisionSignatureUserID&amp;gt;_x000d__x000a_        &amp;lt;DecisionCreateDate&amp;gt;2024-10-07T12:50:24.353+03:00&amp;lt;/DecisionCreateDate&amp;gt;_x000d__x000a_        &amp;lt;DecisionChangeDate&amp;gt;2024-10-13T11:19:25.273+03:00&amp;lt;/DecisionChangeDate&amp;gt;_x000d__x000a_        &amp;lt;DecisionChangeUserID&amp;gt;21177384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7199400&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11773841@GOV.IL&amp;lt;/DecisionCreationUserID&amp;gt;_x000d__x000a_        &amp;lt;DecisionDisplayName&amp;gt;פסק דין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5338619&amp;lt;/DecisionID&amp;gt;_x000d__x000a_        &amp;lt;CaseID&amp;gt;78185216&amp;lt;/CaseID&amp;gt;_x000d__x000a_        &amp;lt;IsOriginal&amp;gt;true&amp;lt;/IsOriginal&amp;gt;_x000d__x000a_        &amp;lt;IsDeleted&amp;gt;false&amp;lt;/IsDeleted&amp;gt;_x000d__x000a_        &amp;lt;CaseName&amp;gt;אלמליח ואח&amp;#39; נ&amp;#39; מנהל מיסוי מקרקעין ירושלים&amp;lt;/CaseName&amp;gt;_x000d__x000a_        &amp;lt;CaseDisplayIdentifier&amp;gt;34243-03-21 ו&amp;quot;ע&amp;lt;/CaseDisplayIdentifier&amp;gt;_x000d__x000a_      &amp;lt;/dt_DecisionCase&amp;gt;_x000d__x000a_    &amp;lt;/DecisionDS&amp;gt;_x000d__x000a_  &amp;lt;/diffgr:diffgram&amp;gt;_x000d__x000a_&amp;lt;/DecisionDS&amp;gt;"/>
    <w:docVar w:name="DecisionID" w:val="155338619"/>
    <w:docVar w:name="WordClientAssemblyName" w:val="NGCS.Decision.ClientWordBL"/>
    <w:docVar w:name="WordClientClassName" w:val="NGCS.Decision.ClientWordBL.DecisionClient"/>
  </w:docVars>
  <w:rsids>
    <w:rsidRoot w:val="00694556"/>
    <w:rsid w:val="00005C8B"/>
    <w:rsid w:val="00016C35"/>
    <w:rsid w:val="00045D36"/>
    <w:rsid w:val="0004773A"/>
    <w:rsid w:val="000564AB"/>
    <w:rsid w:val="00060C9D"/>
    <w:rsid w:val="00082FC0"/>
    <w:rsid w:val="00087748"/>
    <w:rsid w:val="00091061"/>
    <w:rsid w:val="000A72B2"/>
    <w:rsid w:val="000B1F61"/>
    <w:rsid w:val="000E6380"/>
    <w:rsid w:val="00133475"/>
    <w:rsid w:val="0014234E"/>
    <w:rsid w:val="00176322"/>
    <w:rsid w:val="00185DB8"/>
    <w:rsid w:val="001A2809"/>
    <w:rsid w:val="001C4003"/>
    <w:rsid w:val="00264D90"/>
    <w:rsid w:val="00272CAA"/>
    <w:rsid w:val="00295667"/>
    <w:rsid w:val="002A40DD"/>
    <w:rsid w:val="002C070D"/>
    <w:rsid w:val="002D0B5F"/>
    <w:rsid w:val="002E7861"/>
    <w:rsid w:val="0030606D"/>
    <w:rsid w:val="003367B2"/>
    <w:rsid w:val="003427E5"/>
    <w:rsid w:val="00357960"/>
    <w:rsid w:val="00361913"/>
    <w:rsid w:val="00366D6A"/>
    <w:rsid w:val="00380C3C"/>
    <w:rsid w:val="003944DB"/>
    <w:rsid w:val="003B58C0"/>
    <w:rsid w:val="003B5D74"/>
    <w:rsid w:val="00402E4E"/>
    <w:rsid w:val="00405015"/>
    <w:rsid w:val="0044003C"/>
    <w:rsid w:val="00454B2C"/>
    <w:rsid w:val="00476F9F"/>
    <w:rsid w:val="00486EA0"/>
    <w:rsid w:val="004E37C8"/>
    <w:rsid w:val="004E6E3C"/>
    <w:rsid w:val="00500FED"/>
    <w:rsid w:val="00505E19"/>
    <w:rsid w:val="00523BF3"/>
    <w:rsid w:val="00547DB7"/>
    <w:rsid w:val="00550572"/>
    <w:rsid w:val="00552F85"/>
    <w:rsid w:val="005D104B"/>
    <w:rsid w:val="0061325C"/>
    <w:rsid w:val="00622BAA"/>
    <w:rsid w:val="00625C89"/>
    <w:rsid w:val="0065106A"/>
    <w:rsid w:val="0065181A"/>
    <w:rsid w:val="00671BD5"/>
    <w:rsid w:val="00676A9C"/>
    <w:rsid w:val="006805C1"/>
    <w:rsid w:val="006848DD"/>
    <w:rsid w:val="00694556"/>
    <w:rsid w:val="006B23BF"/>
    <w:rsid w:val="006B77F0"/>
    <w:rsid w:val="006B7EB4"/>
    <w:rsid w:val="006E1A53"/>
    <w:rsid w:val="006E1B47"/>
    <w:rsid w:val="006E6DD8"/>
    <w:rsid w:val="006F7C16"/>
    <w:rsid w:val="007056AA"/>
    <w:rsid w:val="00753F24"/>
    <w:rsid w:val="007A24FE"/>
    <w:rsid w:val="007D5F04"/>
    <w:rsid w:val="008061FF"/>
    <w:rsid w:val="0080624C"/>
    <w:rsid w:val="00816EC1"/>
    <w:rsid w:val="00820005"/>
    <w:rsid w:val="00831BB1"/>
    <w:rsid w:val="00842215"/>
    <w:rsid w:val="00846D27"/>
    <w:rsid w:val="00871AA7"/>
    <w:rsid w:val="008800DE"/>
    <w:rsid w:val="00892FE9"/>
    <w:rsid w:val="008C1043"/>
    <w:rsid w:val="008E1779"/>
    <w:rsid w:val="00903896"/>
    <w:rsid w:val="00910591"/>
    <w:rsid w:val="00986101"/>
    <w:rsid w:val="009C7C8F"/>
    <w:rsid w:val="009D6EB6"/>
    <w:rsid w:val="009F65DC"/>
    <w:rsid w:val="00A2397A"/>
    <w:rsid w:val="00A27AD0"/>
    <w:rsid w:val="00A322ED"/>
    <w:rsid w:val="00AB4055"/>
    <w:rsid w:val="00AF044F"/>
    <w:rsid w:val="00AF1ED6"/>
    <w:rsid w:val="00B12DDE"/>
    <w:rsid w:val="00B56E47"/>
    <w:rsid w:val="00B80CBD"/>
    <w:rsid w:val="00B83EBE"/>
    <w:rsid w:val="00B9799B"/>
    <w:rsid w:val="00BD1BB3"/>
    <w:rsid w:val="00BF36E3"/>
    <w:rsid w:val="00C24AB6"/>
    <w:rsid w:val="00C77907"/>
    <w:rsid w:val="00C8031F"/>
    <w:rsid w:val="00CC72AA"/>
    <w:rsid w:val="00CE6542"/>
    <w:rsid w:val="00D07E7A"/>
    <w:rsid w:val="00D25B43"/>
    <w:rsid w:val="00D53924"/>
    <w:rsid w:val="00D96D8C"/>
    <w:rsid w:val="00D97E8F"/>
    <w:rsid w:val="00DA3A8A"/>
    <w:rsid w:val="00DB62C1"/>
    <w:rsid w:val="00E365C1"/>
    <w:rsid w:val="00E54642"/>
    <w:rsid w:val="00E97908"/>
    <w:rsid w:val="00ED7D6C"/>
    <w:rsid w:val="00EE3184"/>
    <w:rsid w:val="00EE5D30"/>
    <w:rsid w:val="00F4119A"/>
    <w:rsid w:val="00F50718"/>
    <w:rsid w:val="00F63439"/>
    <w:rsid w:val="00F64BC8"/>
    <w:rsid w:val="00F85B38"/>
    <w:rsid w:val="00FB4C7F"/>
    <w:rsid w:val="00FD73C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5878A0E-E663-464C-9AC9-26A0D23DA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qFormat/>
    <w:rsid w:val="007D5F04"/>
    <w:pPr>
      <w:keepNext/>
      <w:spacing w:line="360" w:lineRule="auto"/>
      <w:jc w:val="both"/>
      <w:outlineLvl w:val="2"/>
    </w:pPr>
    <w:rPr>
      <w:b/>
      <w:bCs/>
      <w:sz w:val="20"/>
      <w:lang w:eastAsia="he-IL"/>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86101"/>
    <w:rPr>
      <w:color w:val="808080"/>
    </w:rPr>
  </w:style>
  <w:style w:type="character" w:styleId="Hyperlink">
    <w:name w:val="Hyperlink"/>
    <w:basedOn w:val="a0"/>
    <w:semiHidden/>
    <w:unhideWhenUsed/>
    <w:rsid w:val="00264D90"/>
    <w:rPr>
      <w:color w:val="0000FF"/>
      <w:u w:val="single"/>
    </w:rPr>
  </w:style>
  <w:style w:type="paragraph" w:styleId="ad">
    <w:name w:val="List Paragraph"/>
    <w:basedOn w:val="a"/>
    <w:uiPriority w:val="34"/>
    <w:qFormat/>
    <w:rsid w:val="00264D90"/>
    <w:pPr>
      <w:ind w:left="720"/>
      <w:contextualSpacing/>
    </w:pPr>
  </w:style>
  <w:style w:type="paragraph" w:customStyle="1" w:styleId="p00">
    <w:name w:val="p00"/>
    <w:basedOn w:val="a"/>
    <w:rsid w:val="00264D90"/>
    <w:pPr>
      <w:bidi w:val="0"/>
      <w:spacing w:before="100" w:beforeAutospacing="1" w:after="100" w:afterAutospacing="1"/>
    </w:pPr>
    <w:rPr>
      <w:rFonts w:cs="Times New Roman"/>
      <w:noProof w:val="0"/>
    </w:rPr>
  </w:style>
  <w:style w:type="paragraph" w:customStyle="1" w:styleId="ae">
    <w:name w:val="a"/>
    <w:basedOn w:val="a"/>
    <w:rsid w:val="00264D90"/>
    <w:pPr>
      <w:bidi w:val="0"/>
      <w:spacing w:before="100" w:beforeAutospacing="1" w:after="100" w:afterAutospacing="1"/>
    </w:pPr>
    <w:rPr>
      <w:rFonts w:cs="Times New Roman"/>
      <w:noProof w:val="0"/>
    </w:rPr>
  </w:style>
  <w:style w:type="paragraph" w:customStyle="1" w:styleId="a00">
    <w:name w:val="a0"/>
    <w:basedOn w:val="a"/>
    <w:rsid w:val="00264D90"/>
    <w:pPr>
      <w:bidi w:val="0"/>
      <w:spacing w:before="100" w:beforeAutospacing="1" w:after="100" w:afterAutospacing="1"/>
    </w:pPr>
    <w:rPr>
      <w:rFonts w:cs="Times New Roman"/>
      <w:noProof w:val="0"/>
    </w:rPr>
  </w:style>
  <w:style w:type="paragraph" w:customStyle="1" w:styleId="10">
    <w:name w:val="פיסקת רשימה1"/>
    <w:basedOn w:val="a"/>
    <w:qFormat/>
    <w:rsid w:val="00264D90"/>
    <w:pPr>
      <w:spacing w:after="200" w:line="276" w:lineRule="auto"/>
      <w:ind w:left="720"/>
      <w:contextualSpacing/>
    </w:pPr>
    <w:rPr>
      <w:rFonts w:ascii="Calibri" w:hAnsi="Calibri" w:cs="Arial"/>
      <w:noProof w:val="0"/>
      <w:sz w:val="22"/>
      <w:szCs w:val="22"/>
    </w:rPr>
  </w:style>
  <w:style w:type="paragraph" w:customStyle="1" w:styleId="Ruller4">
    <w:name w:val="Ruller 4 ממוספר"/>
    <w:basedOn w:val="a"/>
    <w:next w:val="a"/>
    <w:rsid w:val="00264D90"/>
    <w:pPr>
      <w:numPr>
        <w:numId w:val="1"/>
      </w:numPr>
      <w:tabs>
        <w:tab w:val="left" w:pos="800"/>
      </w:tabs>
      <w:overflowPunct w:val="0"/>
      <w:autoSpaceDE w:val="0"/>
      <w:autoSpaceDN w:val="0"/>
      <w:adjustRightInd w:val="0"/>
      <w:spacing w:line="360" w:lineRule="auto"/>
      <w:jc w:val="both"/>
    </w:pPr>
    <w:rPr>
      <w:rFonts w:ascii="Garamond" w:hAnsi="Garamond" w:cs="FrankRuehl"/>
      <w:noProof w:val="0"/>
      <w:spacing w:val="10"/>
      <w:szCs w:val="28"/>
    </w:rPr>
  </w:style>
  <w:style w:type="character" w:customStyle="1" w:styleId="default">
    <w:name w:val="default"/>
    <w:basedOn w:val="a0"/>
    <w:rsid w:val="00264D90"/>
  </w:style>
  <w:style w:type="character" w:customStyle="1" w:styleId="30">
    <w:name w:val="כותרת 3 תו"/>
    <w:basedOn w:val="a0"/>
    <w:link w:val="3"/>
    <w:rsid w:val="007D5F04"/>
    <w:rPr>
      <w:rFonts w:cs="David"/>
      <w:b/>
      <w:bCs/>
      <w:noProof/>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01117">
      <w:bodyDiv w:val="1"/>
      <w:marLeft w:val="0"/>
      <w:marRight w:val="0"/>
      <w:marTop w:val="0"/>
      <w:marBottom w:val="0"/>
      <w:divBdr>
        <w:top w:val="none" w:sz="0" w:space="0" w:color="auto"/>
        <w:left w:val="none" w:sz="0" w:space="0" w:color="auto"/>
        <w:bottom w:val="none" w:sz="0" w:space="0" w:color="auto"/>
        <w:right w:val="none" w:sz="0" w:space="0" w:color="auto"/>
      </w:divBdr>
    </w:div>
    <w:div w:id="1293974748">
      <w:bodyDiv w:val="1"/>
      <w:marLeft w:val="0"/>
      <w:marRight w:val="0"/>
      <w:marTop w:val="0"/>
      <w:marBottom w:val="0"/>
      <w:divBdr>
        <w:top w:val="none" w:sz="0" w:space="0" w:color="auto"/>
        <w:left w:val="none" w:sz="0" w:space="0" w:color="auto"/>
        <w:bottom w:val="none" w:sz="0" w:space="0" w:color="auto"/>
        <w:right w:val="none" w:sz="0" w:space="0" w:color="auto"/>
      </w:divBdr>
      <w:divsChild>
        <w:div w:id="218244981">
          <w:marLeft w:val="0"/>
          <w:marRight w:val="0"/>
          <w:marTop w:val="0"/>
          <w:marBottom w:val="0"/>
          <w:divBdr>
            <w:top w:val="none" w:sz="0" w:space="0" w:color="auto"/>
            <w:left w:val="none" w:sz="0" w:space="0" w:color="auto"/>
            <w:bottom w:val="none" w:sz="0" w:space="0" w:color="auto"/>
            <w:right w:val="none" w:sz="0" w:space="0" w:color="auto"/>
          </w:divBdr>
          <w:divsChild>
            <w:div w:id="1495678333">
              <w:marLeft w:val="60"/>
              <w:marRight w:val="0"/>
              <w:marTop w:val="0"/>
              <w:marBottom w:val="0"/>
              <w:divBdr>
                <w:top w:val="none" w:sz="0" w:space="0" w:color="auto"/>
                <w:left w:val="none" w:sz="0" w:space="0" w:color="auto"/>
                <w:bottom w:val="none" w:sz="0" w:space="0" w:color="auto"/>
                <w:right w:val="none" w:sz="0" w:space="0" w:color="auto"/>
              </w:divBdr>
            </w:div>
          </w:divsChild>
        </w:div>
        <w:div w:id="347484802">
          <w:marLeft w:val="0"/>
          <w:marRight w:val="0"/>
          <w:marTop w:val="0"/>
          <w:marBottom w:val="0"/>
          <w:divBdr>
            <w:top w:val="none" w:sz="0" w:space="0" w:color="auto"/>
            <w:left w:val="none" w:sz="0" w:space="0" w:color="auto"/>
            <w:bottom w:val="none" w:sz="0" w:space="0" w:color="auto"/>
            <w:right w:val="none" w:sz="0" w:space="0" w:color="auto"/>
          </w:divBdr>
          <w:divsChild>
            <w:div w:id="990670266">
              <w:marLeft w:val="0"/>
              <w:marRight w:val="0"/>
              <w:marTop w:val="120"/>
              <w:marBottom w:val="0"/>
              <w:divBdr>
                <w:top w:val="none" w:sz="0" w:space="0" w:color="auto"/>
                <w:left w:val="none" w:sz="0" w:space="0" w:color="auto"/>
                <w:bottom w:val="none" w:sz="0" w:space="0" w:color="auto"/>
                <w:right w:val="none" w:sz="0" w:space="0" w:color="auto"/>
              </w:divBdr>
              <w:divsChild>
                <w:div w:id="1486050638">
                  <w:marLeft w:val="0"/>
                  <w:marRight w:val="0"/>
                  <w:marTop w:val="0"/>
                  <w:marBottom w:val="0"/>
                  <w:divBdr>
                    <w:top w:val="none" w:sz="0" w:space="0" w:color="auto"/>
                    <w:left w:val="none" w:sz="0" w:space="0" w:color="auto"/>
                    <w:bottom w:val="none" w:sz="0" w:space="0" w:color="auto"/>
                    <w:right w:val="none" w:sz="0" w:space="0" w:color="auto"/>
                  </w:divBdr>
                  <w:divsChild>
                    <w:div w:id="9675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74735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2484320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69700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eu1.proxy.openathens.net/law/72866/85" TargetMode="External"/><Relationship Id="rId18" Type="http://schemas.openxmlformats.org/officeDocument/2006/relationships/hyperlink" Target="http://www.nevo.co.il.eu1.proxy.openathens.net/law/70320/8" TargetMode="External"/><Relationship Id="rId26" Type="http://schemas.openxmlformats.org/officeDocument/2006/relationships/image" Target="cid:image003.png@01DB1AF6.E0433720" TargetMode="External"/><Relationship Id="rId3" Type="http://schemas.openxmlformats.org/officeDocument/2006/relationships/customXml" Target="../customXml/item2.xml"/><Relationship Id="rId21" Type="http://schemas.openxmlformats.org/officeDocument/2006/relationships/hyperlink" Target="http://www.nevo.co.il.eu1.proxy.openathens.net/law/71711" TargetMode="External"/><Relationship Id="rId7" Type="http://schemas.openxmlformats.org/officeDocument/2006/relationships/webSettings" Target="webSettings.xml"/><Relationship Id="rId12" Type="http://schemas.openxmlformats.org/officeDocument/2006/relationships/hyperlink" Target="http://www.nevo.co.il/law/74020/2T11" TargetMode="External"/><Relationship Id="rId17" Type="http://schemas.openxmlformats.org/officeDocument/2006/relationships/hyperlink" Target="http://www.nevo.co.il.eu1.proxy.openathens.net/law/71711" TargetMode="External"/><Relationship Id="rId25" Type="http://schemas.openxmlformats.org/officeDocument/2006/relationships/image" Target="media/image1.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nevo.co.il.eu1.proxy.openathens.net/case/5670140" TargetMode="External"/><Relationship Id="rId20" Type="http://schemas.openxmlformats.org/officeDocument/2006/relationships/hyperlink" Target="http://www.nevo.co.il.eu1.proxy.openathens.net/law/71711" TargetMode="External"/><Relationship Id="rId29"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4020/2T11" TargetMode="External"/><Relationship Id="rId24" Type="http://schemas.openxmlformats.org/officeDocument/2006/relationships/hyperlink" Target="http://www.nevo.co.il.eu1.proxy.openathens.net/links/psika/?link=%E1%E2%F5%20198/82&amp;Pvol=%EC%E5"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nevo.co.il.eu1.proxy.openathens.net/law/72986" TargetMode="External"/><Relationship Id="rId23" Type="http://schemas.openxmlformats.org/officeDocument/2006/relationships/hyperlink" Target="http://www.nevo.co.il.eu1.proxy.openathens.net/links/psika/?link=%E1%E2%F5%203644/06" TargetMode="External"/><Relationship Id="rId28" Type="http://schemas.openxmlformats.org/officeDocument/2006/relationships/image" Target="cid:image001.png@01DB1AF6.E0433720" TargetMode="External"/><Relationship Id="rId10" Type="http://schemas.openxmlformats.org/officeDocument/2006/relationships/hyperlink" Target="http://www.nevo.co.il.eu1.proxy.openathens.net/law/188095" TargetMode="External"/><Relationship Id="rId19" Type="http://schemas.openxmlformats.org/officeDocument/2006/relationships/hyperlink" Target="http://www.nevo.co.il.eu1.proxy.openathens.net/law/70320" TargetMode="External"/><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eu1.proxy.openathens.net/law/72986/20" TargetMode="External"/><Relationship Id="rId22" Type="http://schemas.openxmlformats.org/officeDocument/2006/relationships/hyperlink" Target="http://www.nevo.co.il.eu1.proxy.openathens.net/law/72986" TargetMode="External"/><Relationship Id="rId27" Type="http://schemas.openxmlformats.org/officeDocument/2006/relationships/image" Target="media/image2.png"/><Relationship Id="rId30" Type="http://schemas.openxmlformats.org/officeDocument/2006/relationships/header" Target="header1.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78185216</CaseID>
    <CaseJudicialPersonPresentationDS>
      <CaseJudicalPersonActive>
        <CaseID>78185216</CaseID>
        <JudicialPersonID>055121115@GOV.IL</JudicialPersonID>
        <JudicialPersonTypeID>1</JudicialPersonTypeID>
        <JudicialTypeID>1</JudicialTypeID>
        <IsChairman>false</IsChairman>
        <TreatmentStartDate>2021-03-16T07:56:32.15+02:00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מסייע</PartyTypeName>
        <ProceedingType>כתב טענות עיקרי</ProceedingType>
        <PleaName>כתב ערר</PleaName>
        <PartyBelonging> - </PartyBelonging>
        <RoleName>נציג ציבור - ועדות ערר</RoleName>
        <IsSubProceeding>FALSE</IsSubProceeding>
        <FullName>שלמה מהדלה</FullName>
        <FirstName>שלמה</FirstName>
        <LastName>מדהלה</LastName>
        <PartyPropertyName/>
        <AuthenticationTypeAndNumber>ת"ז 054773106</AuthenticationTypeAndNumber>
        <RepresentatedOrRepresentativesNames/>
        <RepresentatedOrRepresentativesCount>0</RepresentatedOrRepresentativesCount>
        <InvitedBy/>
        <CaseID>78185216</CaseID>
        <CaseJudicialPersonPresentationDS>
          <CaseJudicalPersonActive>
            <CaseID>78185216</CaseID>
            <JudicialPersonID>055121115@GOV.IL</JudicialPersonID>
            <JudicialPersonTypeID>1</JudicialPersonTypeID>
            <JudicialTypeID>1</JudicialTypeID>
            <IsChairman>false</IsChairman>
            <TreatmentStartDate>2021-03-16T07:56:32.15+02:00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278326187</CasePartyID>
        <PartyTypeID>3</PartyTypeID>
        <ActivityStatusID>1</ActivityStatusID>
        <LegalEntityID>69511800</LegalEntityID>
        <CaseLegalEntityID>132540418</CaseLegalEntityID>
        <AssistantRoleID>112</AssistantRoleID>
        <AuthenticationTypeID>1</AuthenticationTypeID>
        <AuthenticationTypeName>ת"ז</AuthenticationTypeName>
        <LegalEntityNumber>054773106</LegalEntityNumber>
        <IsMainPartyType>true</IsMainPartyType>
        <CaseDisplayIdentifier>34243-03-21</CaseDisplayIdentifier>
        <CaseTypeID>14</CaseTypeID>
        <CaseTypeName>ועדת ערר (ו"ע)</CaseTypeName>
        <CaseName>אלמליח ואח' נ' מנהל מיסוי מקרקעין ירושלים</CaseName>
        <FullAddress>ירושלים </FullAddress>
        <EmailAddress>madhala100@gmail.com</EmailAddress>
        <MotionID>0</MotionID>
        <CasePleaID>0</CasePleaID>
        <BirthDate>1957-06-25T00:00:00+03:00</BirthDate>
        <FatherName>זכריה</FatherName>
        <LinkedCaseID>0</LinkedCaseID>
        <PartyID>1</PartyID>
        <CasePartyCategoryID>2</CasePartyCategoryID>
        <LegalEntityAddressID>91029497</LegalEntityAddressID>
        <LegalEntityEmailAddressID>68438914</LegalEntityEmailAddressID>
        <PleaTypeID>18</PleaTypeID>
        <GroupPartyAlias/>
        <IsConverted>false</IsConverted>
        <LegalEntityRegisteredNameID>2134333</LegalEntityRegisteredNameID>
        <LegalEntityNameID>98308195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שלמה מהדלה</PublicationProhibitedFullName>
      </CaseParties>
      <CaseParties>
        <PartyTypeName>מסייע</PartyTypeName>
        <ProceedingType>כתב טענות עיקרי</ProceedingType>
        <PleaName>כתב ערר</PleaName>
        <PartyBelonging> - </PartyBelonging>
        <RoleName>נציג ציבור - ועדות ערר</RoleName>
        <IsSubProceeding>FALSE</IsSubProceeding>
        <FullName>אריאלה אקשטיין</FullName>
        <FirstName>אריאלה</FirstName>
        <LastName>אקשטיין</LastName>
        <PartyPropertyName/>
        <AuthenticationTypeAndNumber>ת"ז 055864144</AuthenticationTypeAndNumber>
        <RepresentatedOrRepresentativesNames/>
        <RepresentatedOrRepresentativesCount>0</RepresentatedOrRepresentativesCount>
        <InvitedBy/>
        <CaseID>78185216</CaseID>
        <CaseJudicialPersonPresentationDS>
          <CaseJudicalPersonActive>
            <CaseID>78185216</CaseID>
            <JudicialPersonID>055121115@GOV.IL</JudicialPersonID>
            <JudicialPersonTypeID>1</JudicialPersonTypeID>
            <JudicialTypeID>1</JudicialTypeID>
            <IsChairman>false</IsChairman>
            <TreatmentStartDate>2021-03-16T07:56:32.15+02:00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278326286</CasePartyID>
        <PartyTypeID>3</PartyTypeID>
        <ActivityStatusID>1</ActivityStatusID>
        <LegalEntityID>71185817</LegalEntityID>
        <CaseLegalEntityID>132540452</CaseLegalEntityID>
        <AssistantRoleID>112</AssistantRoleID>
        <AuthenticationTypeID>1</AuthenticationTypeID>
        <AuthenticationTypeName>ת"ז</AuthenticationTypeName>
        <LegalEntityNumber>055864144</LegalEntityNumber>
        <IsMainPartyType>true</IsMainPartyType>
        <CaseDisplayIdentifier>34243-03-21</CaseDisplayIdentifier>
        <CaseTypeID>14</CaseTypeID>
        <CaseTypeName>ועדת ערר (ו"ע)</CaseTypeName>
        <CaseName>אלמליח ואח' נ' מנהל מיסוי מקרקעין ירושלים</CaseName>
        <FullAddress>ירושלים </FullAddress>
        <EmailAddress>arielaek@gmail.com</EmailAddress>
        <MotionID>0</MotionID>
        <CasePleaID>0</CasePleaID>
        <FatherName>מוני</FatherName>
        <LinkedCaseID>0</LinkedCaseID>
        <PartyID>1</PartyID>
        <CasePartyCategoryID>2</CasePartyCategoryID>
        <LegalEntityAddressID>91029512</LegalEntityAddressID>
        <LegalEntityEmailAddressID>68438916</LegalEntityEmailAddressID>
        <PleaTypeID>18</PleaTypeID>
        <GroupPartyAlias/>
        <IsConverted>false</IsConverted>
        <LegalEntityRegisteredNameID>7678493</LegalEntityRegisteredNameID>
        <LegalEntityNameID>98308210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אריאלה אקשטיין</PublicationProhibitedFullName>
      </CaseParties>
      <CaseParties>
        <PartyTypeName>צד</PartyTypeName>
        <ProceedingType>כתב טענות עיקרי</ProceedingType>
        <PleaName>כתב ערר</PleaName>
        <PartyBelonging>צד א'</PartyBelonging>
        <RoleName>עורר 1</RoleName>
        <IsSubProceeding>FALSE</IsSubProceeding>
        <FullName>גיל יחיאל אלמליח</FullName>
        <FirstName>גיל יחיאל</FirstName>
        <LastName>אלמליח</LastName>
        <PartyPropertyName/>
        <AuthenticationTypeAndNumber>ת"ז 029034220</AuthenticationTypeAndNumber>
        <RepresentatedOrRepresentativesNames>שלומי אשכנזי</RepresentatedOrRepresentativesNames>
        <RepresentatedOrRepresentativesCount>1</RepresentatedOrRepresentativesCount>
        <InvitedBy/>
        <CaseID>78185216</CaseID>
        <CaseJudicialPersonPresentationDS>
          <CaseJudicalPersonActive>
            <CaseID>78185216</CaseID>
            <JudicialPersonID>055121115@GOV.IL</JudicialPersonID>
            <JudicialPersonTypeID>1</JudicialPersonTypeID>
            <JudicialTypeID>1</JudicialTypeID>
            <IsChairman>false</IsChairman>
            <TreatmentStartDate>2021-03-16T07:56:32.15+02:00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224122097</CasePartyID>
        <PartyTypeID>1</PartyTypeID>
        <ActivityStatusID>1</ActivityStatusID>
        <PartyAliasID>16</PartyAliasID>
        <PartyAliasName>עורר</PartyAliasName>
        <OrdinalNumber>1</OrdinalNumber>
        <LegalEntityID>78157665</LegalEntityID>
        <CaseLegalEntityID>114609780</CaseLegalEntityID>
        <AuthenticationTypeID>1</AuthenticationTypeID>
        <AuthenticationTypeName>ת"ז</AuthenticationTypeName>
        <LegalEntityNumber>029034220</LegalEntityNumber>
        <IsMainPartyType>true</IsMainPartyType>
        <CaseDisplayIdentifier>34243-03-21</CaseDisplayIdentifier>
        <CaseTypeID>14</CaseTypeID>
        <CaseTypeName>ועדת ערר (ו"ע)</CaseTypeName>
        <CaseName>אלמליח ואח' נ' מנהל מיסוי מקרקעין ירושלים</CaseName>
        <FullAddress>החבצלת 12ב בית שמש </FullAddress>
        <MotionID>0</MotionID>
        <CasePleaID>0</CasePleaID>
        <FatherName>חיים</FatherName>
        <LinkedCaseID>0</LinkedCaseID>
        <PartyID>1</PartyID>
        <CasePartyCategoryID>2</CasePartyCategoryID>
        <LegalEntityAddressID>84976956</LegalEntityAddressID>
        <PleaTypeID>18</PleaTypeID>
        <GroupPartyAlias>עוררים</GroupPartyAlias>
        <IsConverted>false</IsConverted>
        <LegalEntityRegisteredNameID>9451711</LegalEntityRegisteredNameID>
        <LegalEntityNameID>91097290</LegalEntityNameID>
        <RepresentatedNamesOfAssistant/>
        <LegalEntityTypeID>1</LegalEntityTypeID>
        <IsVerdictExists>false</IsVerdictExists>
        <IsAsirAzir>false</IsAsirAzir>
        <MainAndSecSpec/>
        <IsPublicationProhibited>false</IsPublicationProhibited>
        <PublicationProhibitedFullName>גיל יחיאל אלמליח</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שלומי אשכנזי</FullName>
        <FirstName>שלומי</FirstName>
        <LastName>אשכנזי</LastName>
        <PartyPropertyName/>
        <AuthenticationTypeAndNumber>מ.ר. 53369</AuthenticationTypeAndNumber>
        <RepresentatedOrRepresentativesNames>גיל יחיאל אלמליח, מישל פיי אלמליח</RepresentatedOrRepresentativesNames>
        <RepresentatedOrRepresentativesCount>2</RepresentatedOrRepresentativesCount>
        <InvitedBy/>
        <CaseID>78185216</CaseID>
        <CaseJudicialPersonPresentationDS>
          <CaseJudicalPersonActive>
            <CaseID>78185216</CaseID>
            <JudicialPersonID>055121115@GOV.IL</JudicialPersonID>
            <JudicialPersonTypeID>1</JudicialPersonTypeID>
            <JudicialTypeID>1</JudicialTypeID>
            <IsChairman>false</IsChairman>
            <TreatmentStartDate>2021-03-16T07:56:32.15+02:00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224122098</CasePartyID>
        <PartyTypeID>2</PartyTypeID>
        <ActivityStatusID>1</ActivityStatusID>
        <PartyAliasID>35</PartyAliasID>
        <PartyAliasName>בא כוח עוררים</PartyAliasName>
        <OrdinalNumber>1</OrdinalNumber>
        <LegalEntityID>33127593</LegalEntityID>
        <CaseLegalEntityID>114609781</CaseLegalEntityID>
        <AuthenticationTypeID>4</AuthenticationTypeID>
        <AuthenticationTypeName>מ.ר.</AuthenticationTypeName>
        <LegalEntityNumber>53369</LegalEntityNumber>
        <IsMainPartyType>true</IsMainPartyType>
        <CaseDisplayIdentifier>34243-03-21</CaseDisplayIdentifier>
        <CaseTypeID>14</CaseTypeID>
        <CaseTypeName>ועדת ערר (ו"ע)</CaseTypeName>
        <CaseName>אלמליח ואח' נ' מנהל מיסוי מקרקעין ירושלים</CaseName>
        <FullAddress>- ירושלים </FullAddress>
        <MotionID>0</MotionID>
        <CasePleaID>0</CasePleaID>
        <LinkedCaseID>0</LinkedCaseID>
        <PartyID>1</PartyID>
        <CasePartyCategoryID>2</CasePartyCategoryID>
        <LegalEntityAddressID>83200263</LegalEntityAddressID>
        <PleaTypeID>18</PleaTypeID>
        <LawyerOfficeName>משרד עו"ד שלומי אשכנזי</LawyerOfficeName>
        <LawyerOfficeID>33127594</LawyerOfficeID>
        <GroupPartyAlias/>
        <IsConverted>false</IsConverted>
        <LegalEntityNameID>34917964</LegalEntityNameID>
        <RepresentatedNamesOfAssistant/>
        <LegalEntityTypeID>4</LegalEntityTypeID>
        <IsVerdictExists>false</IsVerdictExists>
        <IsAsirAzir>false</IsAsirAzir>
        <MainAndSecSpec/>
        <IsPublicationProhibited>false</IsPublicationProhibited>
        <PublicationProhibitedFullName>שלומי אשכנזי</PublicationProhibitedFullName>
      </CaseParties>
      <CaseParties>
        <PartyTypeName>צד</PartyTypeName>
        <ProceedingType>כתב טענות עיקרי</ProceedingType>
        <PleaName>כתב ערר</PleaName>
        <PartyBelonging>צד ב'</PartyBelonging>
        <RoleName>משיב 1</RoleName>
        <IsSubProceeding>FALSE</IsSubProceeding>
        <FullName>מנהל מיסוי מקרקעין ירושלים</FullName>
        <LastName>מנהל מיסוי מקרקעין ירושלים</LastName>
        <PartyPropertyName/>
        <AuthenticationTypeAndNumber>משרדי ממשלה 570001906</AuthenticationTypeAndNumber>
        <RepresentatedOrRepresentativesNames>קרן יוסט</RepresentatedOrRepresentativesNames>
        <RepresentatedOrRepresentativesCount>1</RepresentatedOrRepresentativesCount>
        <InvitedBy/>
        <CaseID>78185216</CaseID>
        <CaseJudicialPersonPresentationDS>
          <CaseJudicalPersonActive>
            <CaseID>78185216</CaseID>
            <JudicialPersonID>055121115@GOV.IL</JudicialPersonID>
            <JudicialPersonTypeID>1</JudicialPersonTypeID>
            <JudicialTypeID>1</JudicialTypeID>
            <IsChairman>false</IsChairman>
            <TreatmentStartDate>2021-03-16T07:56:32.15+02:00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224122099</CasePartyID>
        <PartyTypeID>1</PartyTypeID>
        <ActivityStatusID>1</ActivityStatusID>
        <PartyAliasID>4</PartyAliasID>
        <PartyAliasName>משיב</PartyAliasName>
        <OrdinalNumber>1</OrdinalNumber>
        <LegalEntityID>79632675</LegalEntityID>
        <CaseLegalEntityID>114609782</CaseLegalEntityID>
        <AuthenticationTypeID>13</AuthenticationTypeID>
        <AuthenticationTypeName>משרדי ממשלה</AuthenticationTypeName>
        <LegalEntityNumber>570001906</LegalEntityNumber>
        <IsMainPartyType>true</IsMainPartyType>
        <CaseDisplayIdentifier>34243-03-21</CaseDisplayIdentifier>
        <CaseTypeID>14</CaseTypeID>
        <CaseTypeName>ועדת ערר (ו"ע)</CaseTypeName>
        <CaseName>אלמליח ואח' נ' מנהל מיסוי מקרקעין ירושלים</CaseName>
        <FullAddress>כנפי נשרים 66 ירושלים גבעת שאול</FullAddress>
        <MotionID>0</MotionID>
        <CasePleaID>0</CasePleaID>
        <LinkedCaseID>0</LinkedCaseID>
        <PartyID>2</PartyID>
        <CasePartyCategoryID>2</CasePartyCategoryID>
        <LegalEntityAddressID>84975998</LegalEntityAddressID>
        <PleaTypeID>18</PleaTypeID>
        <GroupPartyAlias>משיבים</GroupPartyAlias>
        <IsConverted>false</IsConverted>
        <LegalEntityRegisteredNameID>9451216</LegalEntityRegisteredNameID>
        <RepresentatedNamesOfAssistant/>
        <LegalEntityTypeID>3</LegalEntityTypeID>
        <IsVerdictExists>false</IsVerdictExists>
        <IsAsirAzir>false</IsAsirAzir>
        <MainAndSecSpec/>
        <IsPublicationProhibited>false</IsPublicationProhibited>
        <PublicationProhibitedFullName>מנהל מיסוי מקרקעין ירושלים</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78185216</CaseID>
        <CaseJudicialPersonPresentationDS>
          <CaseJudicalPersonActive>
            <CaseID>78185216</CaseID>
            <JudicialPersonID>055121115@GOV.IL</JudicialPersonID>
            <JudicialPersonTypeID>1</JudicialPersonTypeID>
            <JudicialTypeID>1</JudicialTypeID>
            <IsChairman>false</IsChairman>
            <TreatmentStartDate>2021-03-16T07:56:32.15+02:00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260961955</CasePartyID>
        <PartyTypeID>2</PartyTypeID>
        <ActivityStatusID>1</ActivityStatusID>
        <PartyAliasID>23</PartyAliasID>
        <PartyAliasName>בא כוח משיבים</PartyAliasName>
        <OrdinalNumber>1</OrdinalNumber>
        <LegalEntityID>401563</LegalEntityID>
        <CaseLegalEntityID>126068513</CaseLegalEntityID>
        <AuthenticationTypeID>4</AuthenticationTypeID>
        <AuthenticationTypeName>מ.ר.</AuthenticationTypeName>
        <LegalEntityNumber>23388</LegalEntityNumber>
        <IsMainPartyType>true</IsMainPartyType>
        <CaseDisplayIdentifier>34243-03-21</CaseDisplayIdentifier>
        <CaseTypeID>14</CaseTypeID>
        <CaseTypeName>ועדת ערר (ו"ע)</CaseTypeName>
        <CaseName>אלמליח ואח' נ' מנהל מיסוי מקרקעין ירושלים</CaseName>
        <FullAddress>מח"ל 7 ירושלים </FullAddress>
        <MotionID>0</MotionID>
        <CasePleaID>0</CasePleaID>
        <LinkedCaseID>0</LinkedCaseID>
        <PartyID>2</PartyID>
        <CasePartyCategoryID>2</CasePartyCategoryID>
        <LegalEntityAddressID>58125595</LegalEntityAddressID>
        <PleaTypeID>18</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צד</PartyTypeName>
        <ProceedingType>כתב טענות עיקרי</ProceedingType>
        <PleaName>כתב ערר</PleaName>
        <PartyBelonging>צד א'</PartyBelonging>
        <RoleName>עורר 2</RoleName>
        <IsSubProceeding>FALSE</IsSubProceeding>
        <FullName>מישל פיי אלמליח</FullName>
        <FirstName>מישל פיי</FirstName>
        <LastName>אלמליח</LastName>
        <PartyPropertyName/>
        <AuthenticationTypeAndNumber>ת"ז 324719509</AuthenticationTypeAndNumber>
        <RepresentatedOrRepresentativesNames>שלומי אשכנזי</RepresentatedOrRepresentativesNames>
        <RepresentatedOrRepresentativesCount>1</RepresentatedOrRepresentativesCount>
        <InvitedBy/>
        <CaseID>78185216</CaseID>
        <CaseJudicialPersonPresentationDS>
          <CaseJudicalPersonActive>
            <CaseID>78185216</CaseID>
            <JudicialPersonID>055121115@GOV.IL</JudicialPersonID>
            <JudicialPersonTypeID>1</JudicialPersonTypeID>
            <JudicialTypeID>1</JudicialTypeID>
            <IsChairman>false</IsChairman>
            <TreatmentStartDate>2021-03-16T07:56:32.15+02:00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224122096</CasePartyID>
        <PartyTypeID>1</PartyTypeID>
        <ActivityStatusID>1</ActivityStatusID>
        <PartyAliasID>16</PartyAliasID>
        <PartyAliasName>עורר</PartyAliasName>
        <OrdinalNumber>2</OrdinalNumber>
        <LegalEntityID>76067650</LegalEntityID>
        <CaseLegalEntityID>114609779</CaseLegalEntityID>
        <AuthenticationTypeID>1</AuthenticationTypeID>
        <AuthenticationTypeName>ת"ז</AuthenticationTypeName>
        <LegalEntityNumber>324719509</LegalEntityNumber>
        <IsMainPartyType>true</IsMainPartyType>
        <CaseDisplayIdentifier>34243-03-21</CaseDisplayIdentifier>
        <CaseTypeID>14</CaseTypeID>
        <CaseTypeName>ועדת ערר (ו"ע)</CaseTypeName>
        <CaseName>אלמליח ואח' נ' מנהל מיסוי מקרקעין ירושלים</CaseName>
        <FullAddress>החבצלת 12ב בית שמש </FullAddress>
        <MotionID>0</MotionID>
        <CasePleaID>0</CasePleaID>
        <FatherName>יחזקיאל</FatherName>
        <LinkedCaseID>0</LinkedCaseID>
        <PartyID>1</PartyID>
        <CasePartyCategoryID>2</CasePartyCategoryID>
        <LegalEntityAddressID>84976955</LegalEntityAddressID>
        <PleaTypeID>18</PleaTypeID>
        <GroupPartyAlias>עוררים</GroupPartyAlias>
        <IsConverted>false</IsConverted>
        <LegalEntityRegisteredNameID>6039259</LegalEntityRegisteredNameID>
        <LegalEntityNameID>91097289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מישל פיי אלמליח</PublicationProhibitedFullName>
      </CaseParties>
    </CasePartiesSelectionDS>
    <DecisionName>פסק דין  שניתנה ע"י  אביגדור דורות</DecisionName>
    <CourtDisplayName>בית המשפט המחוזי בירושלים בשבתו כבית-משפט לעניינים מנהליים</CourtDisplayName>
    <IsCaseJudgePanel>false</IsCaseJudgePanel>
    <DecisionSignatureDate>2024-10-07T12:44:32.1263392+03:00</DecisionSignatureDate>
    <OpenCaseDate>2021-03-16T07:00:00+02:00</OpenCaseDate>
    <CaseFeeSum>0.000</CaseFeeSum>
    <DecisionTypeID>2</DecisionTypeID>
    <DecisionSignatureUserName>אביגדור דורות</DecisionSignatureUserName>
    <DecisionSignatureDateHebrew>2024-10-07T12:44:32.1263392+03:00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אלמליח ואח' נ' מנהל מיסוי מקרקעין ירושלים</CaseName>
    <DecisionNumberInCase>10</DecisionNumberInCase>
  </dt_Decision>
  <dt_DecisionCase>
    <DecisionID>0</DecisionID>
    <CaseID>78185216</CaseID>
    <CaseJudicialPersonPresentationDS>
      <CaseJudicalPersonActive>
        <CaseID>78185216</CaseID>
        <JudicialPersonID>055121115@GOV.IL</JudicialPersonID>
        <JudicialPersonTypeID>1</JudicialPersonTypeID>
        <JudicialTypeID>1</JudicialTypeID>
        <IsChairman>false</IsChairman>
        <TreatmentStartDate>2021-03-16T07:56:32.15+02:00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מסייע</PartyTypeName>
        <ProceedingType>כתב טענות עיקרי</ProceedingType>
        <PleaName>כתב ערר</PleaName>
        <PartyBelonging> - </PartyBelonging>
        <RoleName>נציג ציבור - ועדות ערר</RoleName>
        <IsSubProceeding>FALSE</IsSubProceeding>
        <FullName>שלמה מהדלה</FullName>
        <FirstName>שלמה</FirstName>
        <LastName>מדהלה</LastName>
        <PartyPropertyName/>
        <AuthenticationTypeAndNumber>ת"ז 054773106</AuthenticationTypeAndNumber>
        <RepresentatedOrRepresentativesNames/>
        <RepresentatedOrRepresentativesCount>0</RepresentatedOrRepresentativesCount>
        <InvitedBy/>
        <CaseID>78185216</CaseID>
        <CaseJudicialPersonPresentationDS>
          <CaseJudicalPersonActive>
            <CaseID>78185216</CaseID>
            <JudicialPersonID>055121115@GOV.IL</JudicialPersonID>
            <JudicialPersonTypeID>1</JudicialPersonTypeID>
            <JudicialTypeID>1</JudicialTypeID>
            <IsChairman>false</IsChairman>
            <TreatmentStartDate>2021-03-16T07:56:32.15+02:00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278326187</CasePartyID>
        <PartyTypeID>3</PartyTypeID>
        <ActivityStatusID>1</ActivityStatusID>
        <LegalEntityID>69511800</LegalEntityID>
        <CaseLegalEntityID>132540418</CaseLegalEntityID>
        <AssistantRoleID>112</AssistantRoleID>
        <AuthenticationTypeID>1</AuthenticationTypeID>
        <AuthenticationTypeName>ת"ז</AuthenticationTypeName>
        <LegalEntityNumber>054773106</LegalEntityNumber>
        <IsMainPartyType>true</IsMainPartyType>
        <CaseDisplayIdentifier>34243-03-21</CaseDisplayIdentifier>
        <CaseTypeID>14</CaseTypeID>
        <CaseTypeName>ועדת ערר (ו"ע)</CaseTypeName>
        <CaseName>אלמליח ואח' נ' מנהל מיסוי מקרקעין ירושלים</CaseName>
        <FullAddress>ירושלים </FullAddress>
        <EmailAddress>madhala100@gmail.com</EmailAddress>
        <MotionID>0</MotionID>
        <CasePleaID>0</CasePleaID>
        <BirthDate>1957-06-25T00:00:00+03:00</BirthDate>
        <FatherName>זכריה</FatherName>
        <LinkedCaseID>0</LinkedCaseID>
        <PartyID>1</PartyID>
        <CasePartyCategoryID>2</CasePartyCategoryID>
        <LegalEntityAddressID>91029497</LegalEntityAddressID>
        <LegalEntityEmailAddressID>68438914</LegalEntityEmailAddressID>
        <PleaTypeID>18</PleaTypeID>
        <GroupPartyAlias/>
        <IsConverted>false</IsConverted>
        <LegalEntityRegisteredNameID>2134333</LegalEntityRegisteredNameID>
        <LegalEntityNameID>98308195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שלמה מהדלה</PublicationProhibitedFullName>
      </CaseParties>
      <CaseParties>
        <PartyTypeName>מסייע</PartyTypeName>
        <ProceedingType>כתב טענות עיקרי</ProceedingType>
        <PleaName>כתב ערר</PleaName>
        <PartyBelonging> - </PartyBelonging>
        <RoleName>נציג ציבור - ועדות ערר</RoleName>
        <IsSubProceeding>FALSE</IsSubProceeding>
        <FullName>אריאלה אקשטיין</FullName>
        <FirstName>אריאלה</FirstName>
        <LastName>אקשטיין</LastName>
        <PartyPropertyName/>
        <AuthenticationTypeAndNumber>ת"ז 055864144</AuthenticationTypeAndNumber>
        <RepresentatedOrRepresentativesNames/>
        <RepresentatedOrRepresentativesCount>0</RepresentatedOrRepresentativesCount>
        <InvitedBy/>
        <CaseID>78185216</CaseID>
        <CaseJudicialPersonPresentationDS>
          <CaseJudicalPersonActive>
            <CaseID>78185216</CaseID>
            <JudicialPersonID>055121115@GOV.IL</JudicialPersonID>
            <JudicialPersonTypeID>1</JudicialPersonTypeID>
            <JudicialTypeID>1</JudicialTypeID>
            <IsChairman>false</IsChairman>
            <TreatmentStartDate>2021-03-16T07:56:32.15+02:00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278326286</CasePartyID>
        <PartyTypeID>3</PartyTypeID>
        <ActivityStatusID>1</ActivityStatusID>
        <LegalEntityID>71185817</LegalEntityID>
        <CaseLegalEntityID>132540452</CaseLegalEntityID>
        <AssistantRoleID>112</AssistantRoleID>
        <AuthenticationTypeID>1</AuthenticationTypeID>
        <AuthenticationTypeName>ת"ז</AuthenticationTypeName>
        <LegalEntityNumber>055864144</LegalEntityNumber>
        <IsMainPartyType>true</IsMainPartyType>
        <CaseDisplayIdentifier>34243-03-21</CaseDisplayIdentifier>
        <CaseTypeID>14</CaseTypeID>
        <CaseTypeName>ועדת ערר (ו"ע)</CaseTypeName>
        <CaseName>אלמליח ואח' נ' מנהל מיסוי מקרקעין ירושלים</CaseName>
        <FullAddress>ירושלים </FullAddress>
        <EmailAddress>arielaek@gmail.com</EmailAddress>
        <MotionID>0</MotionID>
        <CasePleaID>0</CasePleaID>
        <FatherName>מוני</FatherName>
        <LinkedCaseID>0</LinkedCaseID>
        <PartyID>1</PartyID>
        <CasePartyCategoryID>2</CasePartyCategoryID>
        <LegalEntityAddressID>91029512</LegalEntityAddressID>
        <LegalEntityEmailAddressID>68438916</LegalEntityEmailAddressID>
        <PleaTypeID>18</PleaTypeID>
        <GroupPartyAlias/>
        <IsConverted>false</IsConverted>
        <LegalEntityRegisteredNameID>7678493</LegalEntityRegisteredNameID>
        <LegalEntityNameID>98308210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אריאלה אקשטיין</PublicationProhibitedFullName>
      </CaseParties>
      <CaseParties>
        <PartyTypeName>צד</PartyTypeName>
        <ProceedingType>כתב טענות עיקרי</ProceedingType>
        <PleaName>כתב ערר</PleaName>
        <PartyBelonging>צד א'</PartyBelonging>
        <RoleName>עורר 1</RoleName>
        <IsSubProceeding>FALSE</IsSubProceeding>
        <FullName>גיל יחיאל אלמליח</FullName>
        <FirstName>גיל יחיאל</FirstName>
        <LastName>אלמליח</LastName>
        <PartyPropertyName/>
        <AuthenticationTypeAndNumber>ת"ז 029034220</AuthenticationTypeAndNumber>
        <RepresentatedOrRepresentativesNames>שלומי אשכנזי</RepresentatedOrRepresentativesNames>
        <RepresentatedOrRepresentativesCount>1</RepresentatedOrRepresentativesCount>
        <InvitedBy/>
        <CaseID>78185216</CaseID>
        <CaseJudicialPersonPresentationDS>
          <CaseJudicalPersonActive>
            <CaseID>78185216</CaseID>
            <JudicialPersonID>055121115@GOV.IL</JudicialPersonID>
            <JudicialPersonTypeID>1</JudicialPersonTypeID>
            <JudicialTypeID>1</JudicialTypeID>
            <IsChairman>false</IsChairman>
            <TreatmentStartDate>2021-03-16T07:56:32.15+02:00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224122097</CasePartyID>
        <PartyTypeID>1</PartyTypeID>
        <ActivityStatusID>1</ActivityStatusID>
        <PartyAliasID>16</PartyAliasID>
        <PartyAliasName>עורר</PartyAliasName>
        <OrdinalNumber>1</OrdinalNumber>
        <LegalEntityID>78157665</LegalEntityID>
        <CaseLegalEntityID>114609780</CaseLegalEntityID>
        <AuthenticationTypeID>1</AuthenticationTypeID>
        <AuthenticationTypeName>ת"ז</AuthenticationTypeName>
        <LegalEntityNumber>029034220</LegalEntityNumber>
        <IsMainPartyType>true</IsMainPartyType>
        <CaseDisplayIdentifier>34243-03-21</CaseDisplayIdentifier>
        <CaseTypeID>14</CaseTypeID>
        <CaseTypeName>ועדת ערר (ו"ע)</CaseTypeName>
        <CaseName>אלמליח ואח' נ' מנהל מיסוי מקרקעין ירושלים</CaseName>
        <FullAddress>החבצלת 12ב בית שמש </FullAddress>
        <MotionID>0</MotionID>
        <CasePleaID>0</CasePleaID>
        <FatherName>חיים</FatherName>
        <LinkedCaseID>0</LinkedCaseID>
        <PartyID>1</PartyID>
        <CasePartyCategoryID>2</CasePartyCategoryID>
        <LegalEntityAddressID>84976956</LegalEntityAddressID>
        <PleaTypeID>18</PleaTypeID>
        <GroupPartyAlias>עוררים</GroupPartyAlias>
        <IsConverted>false</IsConverted>
        <LegalEntityRegisteredNameID>9451711</LegalEntityRegisteredNameID>
        <LegalEntityNameID>91097290</LegalEntityNameID>
        <RepresentatedNamesOfAssistant/>
        <LegalEntityTypeID>1</LegalEntityTypeID>
        <IsVerdictExists>false</IsVerdictExists>
        <IsAsirAzir>false</IsAsirAzir>
        <MainAndSecSpec/>
        <IsPublicationProhibited>false</IsPublicationProhibited>
        <PublicationProhibitedFullName>גיל יחיאל אלמליח</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שלומי אשכנזי</FullName>
        <FirstName>שלומי</FirstName>
        <LastName>אשכנזי</LastName>
        <PartyPropertyName/>
        <AuthenticationTypeAndNumber>מ.ר. 53369</AuthenticationTypeAndNumber>
        <RepresentatedOrRepresentativesNames>גיל יחיאל אלמליח, מישל פיי אלמליח</RepresentatedOrRepresentativesNames>
        <RepresentatedOrRepresentativesCount>2</RepresentatedOrRepresentativesCount>
        <InvitedBy/>
        <CaseID>78185216</CaseID>
        <CaseJudicialPersonPresentationDS>
          <CaseJudicalPersonActive>
            <CaseID>78185216</CaseID>
            <JudicialPersonID>055121115@GOV.IL</JudicialPersonID>
            <JudicialPersonTypeID>1</JudicialPersonTypeID>
            <JudicialTypeID>1</JudicialTypeID>
            <IsChairman>false</IsChairman>
            <TreatmentStartDate>2021-03-16T07:56:32.15+02:00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224122098</CasePartyID>
        <PartyTypeID>2</PartyTypeID>
        <ActivityStatusID>1</ActivityStatusID>
        <PartyAliasID>35</PartyAliasID>
        <PartyAliasName>בא כוח עוררים</PartyAliasName>
        <OrdinalNumber>1</OrdinalNumber>
        <LegalEntityID>33127593</LegalEntityID>
        <CaseLegalEntityID>114609781</CaseLegalEntityID>
        <AuthenticationTypeID>4</AuthenticationTypeID>
        <AuthenticationTypeName>מ.ר.</AuthenticationTypeName>
        <LegalEntityNumber>53369</LegalEntityNumber>
        <IsMainPartyType>true</IsMainPartyType>
        <CaseDisplayIdentifier>34243-03-21</CaseDisplayIdentifier>
        <CaseTypeID>14</CaseTypeID>
        <CaseTypeName>ועדת ערר (ו"ע)</CaseTypeName>
        <CaseName>אלמליח ואח' נ' מנהל מיסוי מקרקעין ירושלים</CaseName>
        <FullAddress>- ירושלים </FullAddress>
        <MotionID>0</MotionID>
        <CasePleaID>0</CasePleaID>
        <LinkedCaseID>0</LinkedCaseID>
        <PartyID>1</PartyID>
        <CasePartyCategoryID>2</CasePartyCategoryID>
        <LegalEntityAddressID>83200263</LegalEntityAddressID>
        <PleaTypeID>18</PleaTypeID>
        <LawyerOfficeName>משרד עו"ד שלומי אשכנזי</LawyerOfficeName>
        <LawyerOfficeID>33127594</LawyerOfficeID>
        <GroupPartyAlias/>
        <IsConverted>false</IsConverted>
        <LegalEntityNameID>34917964</LegalEntityNameID>
        <RepresentatedNamesOfAssistant/>
        <LegalEntityTypeID>4</LegalEntityTypeID>
        <IsVerdictExists>false</IsVerdictExists>
        <IsAsirAzir>false</IsAsirAzir>
        <MainAndSecSpec/>
        <IsPublicationProhibited>false</IsPublicationProhibited>
        <PublicationProhibitedFullName>שלומי אשכנזי</PublicationProhibitedFullName>
      </CaseParties>
      <CaseParties>
        <PartyTypeName>צד</PartyTypeName>
        <ProceedingType>כתב טענות עיקרי</ProceedingType>
        <PleaName>כתב ערר</PleaName>
        <PartyBelonging>צד ב'</PartyBelonging>
        <RoleName>משיב 1</RoleName>
        <IsSubProceeding>FALSE</IsSubProceeding>
        <FullName>מנהל מיסוי מקרקעין ירושלים</FullName>
        <LastName>מנהל מיסוי מקרקעין ירושלים</LastName>
        <PartyPropertyName/>
        <AuthenticationTypeAndNumber>משרדי ממשלה 570001906</AuthenticationTypeAndNumber>
        <RepresentatedOrRepresentativesNames>קרן יוסט</RepresentatedOrRepresentativesNames>
        <RepresentatedOrRepresentativesCount>1</RepresentatedOrRepresentativesCount>
        <InvitedBy/>
        <CaseID>78185216</CaseID>
        <CaseJudicialPersonPresentationDS>
          <CaseJudicalPersonActive>
            <CaseID>78185216</CaseID>
            <JudicialPersonID>055121115@GOV.IL</JudicialPersonID>
            <JudicialPersonTypeID>1</JudicialPersonTypeID>
            <JudicialTypeID>1</JudicialTypeID>
            <IsChairman>false</IsChairman>
            <TreatmentStartDate>2021-03-16T07:56:32.15+02:00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224122099</CasePartyID>
        <PartyTypeID>1</PartyTypeID>
        <ActivityStatusID>1</ActivityStatusID>
        <PartyAliasID>4</PartyAliasID>
        <PartyAliasName>משיב</PartyAliasName>
        <OrdinalNumber>1</OrdinalNumber>
        <LegalEntityID>79632675</LegalEntityID>
        <CaseLegalEntityID>114609782</CaseLegalEntityID>
        <AuthenticationTypeID>13</AuthenticationTypeID>
        <AuthenticationTypeName>משרדי ממשלה</AuthenticationTypeName>
        <LegalEntityNumber>570001906</LegalEntityNumber>
        <IsMainPartyType>true</IsMainPartyType>
        <CaseDisplayIdentifier>34243-03-21</CaseDisplayIdentifier>
        <CaseTypeID>14</CaseTypeID>
        <CaseTypeName>ועדת ערר (ו"ע)</CaseTypeName>
        <CaseName>אלמליח ואח' נ' מנהל מיסוי מקרקעין ירושלים</CaseName>
        <FullAddress>כנפי נשרים 66 ירושלים גבעת שאול</FullAddress>
        <MotionID>0</MotionID>
        <CasePleaID>0</CasePleaID>
        <LinkedCaseID>0</LinkedCaseID>
        <PartyID>2</PartyID>
        <CasePartyCategoryID>2</CasePartyCategoryID>
        <LegalEntityAddressID>84975998</LegalEntityAddressID>
        <PleaTypeID>18</PleaTypeID>
        <GroupPartyAlias>משיבים</GroupPartyAlias>
        <IsConverted>false</IsConverted>
        <LegalEntityRegisteredNameID>9451216</LegalEntityRegisteredNameID>
        <RepresentatedNamesOfAssistant/>
        <LegalEntityTypeID>3</LegalEntityTypeID>
        <IsVerdictExists>false</IsVerdictExists>
        <IsAsirAzir>false</IsAsirAzir>
        <MainAndSecSpec/>
        <IsPublicationProhibited>false</IsPublicationProhibited>
        <PublicationProhibitedFullName>מנהל מיסוי מקרקעין ירושלים</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78185216</CaseID>
        <CaseJudicialPersonPresentationDS>
          <CaseJudicalPersonActive>
            <CaseID>78185216</CaseID>
            <JudicialPersonID>055121115@GOV.IL</JudicialPersonID>
            <JudicialPersonTypeID>1</JudicialPersonTypeID>
            <JudicialTypeID>1</JudicialTypeID>
            <IsChairman>false</IsChairman>
            <TreatmentStartDate>2021-03-16T07:56:32.15+02:00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260961955</CasePartyID>
        <PartyTypeID>2</PartyTypeID>
        <ActivityStatusID>1</ActivityStatusID>
        <PartyAliasID>23</PartyAliasID>
        <PartyAliasName>בא כוח משיבים</PartyAliasName>
        <OrdinalNumber>1</OrdinalNumber>
        <LegalEntityID>401563</LegalEntityID>
        <CaseLegalEntityID>126068513</CaseLegalEntityID>
        <AuthenticationTypeID>4</AuthenticationTypeID>
        <AuthenticationTypeName>מ.ר.</AuthenticationTypeName>
        <LegalEntityNumber>23388</LegalEntityNumber>
        <IsMainPartyType>true</IsMainPartyType>
        <CaseDisplayIdentifier>34243-03-21</CaseDisplayIdentifier>
        <CaseTypeID>14</CaseTypeID>
        <CaseTypeName>ועדת ערר (ו"ע)</CaseTypeName>
        <CaseName>אלמליח ואח' נ' מנהל מיסוי מקרקעין ירושלים</CaseName>
        <FullAddress>מח"ל 7 ירושלים </FullAddress>
        <MotionID>0</MotionID>
        <CasePleaID>0</CasePleaID>
        <LinkedCaseID>0</LinkedCaseID>
        <PartyID>2</PartyID>
        <CasePartyCategoryID>2</CasePartyCategoryID>
        <LegalEntityAddressID>58125595</LegalEntityAddressID>
        <PleaTypeID>18</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צד</PartyTypeName>
        <ProceedingType>כתב טענות עיקרי</ProceedingType>
        <PleaName>כתב ערר</PleaName>
        <PartyBelonging>צד א'</PartyBelonging>
        <RoleName>עורר 2</RoleName>
        <IsSubProceeding>FALSE</IsSubProceeding>
        <FullName>מישל פיי אלמליח</FullName>
        <FirstName>מישל פיי</FirstName>
        <LastName>אלמליח</LastName>
        <PartyPropertyName/>
        <AuthenticationTypeAndNumber>ת"ז 324719509</AuthenticationTypeAndNumber>
        <RepresentatedOrRepresentativesNames>שלומי אשכנזי</RepresentatedOrRepresentativesNames>
        <RepresentatedOrRepresentativesCount>1</RepresentatedOrRepresentativesCount>
        <InvitedBy/>
        <CaseID>78185216</CaseID>
        <CaseJudicialPersonPresentationDS>
          <CaseJudicalPersonActive>
            <CaseID>78185216</CaseID>
            <JudicialPersonID>055121115@GOV.IL</JudicialPersonID>
            <JudicialPersonTypeID>1</JudicialPersonTypeID>
            <JudicialTypeID>1</JudicialTypeID>
            <IsChairman>false</IsChairman>
            <TreatmentStartDate>2021-03-16T07:56:32.15+02:00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224122096</CasePartyID>
        <PartyTypeID>1</PartyTypeID>
        <ActivityStatusID>1</ActivityStatusID>
        <PartyAliasID>16</PartyAliasID>
        <PartyAliasName>עורר</PartyAliasName>
        <OrdinalNumber>2</OrdinalNumber>
        <LegalEntityID>76067650</LegalEntityID>
        <CaseLegalEntityID>114609779</CaseLegalEntityID>
        <AuthenticationTypeID>1</AuthenticationTypeID>
        <AuthenticationTypeName>ת"ז</AuthenticationTypeName>
        <LegalEntityNumber>324719509</LegalEntityNumber>
        <IsMainPartyType>true</IsMainPartyType>
        <CaseDisplayIdentifier>34243-03-21</CaseDisplayIdentifier>
        <CaseTypeID>14</CaseTypeID>
        <CaseTypeName>ועדת ערר (ו"ע)</CaseTypeName>
        <CaseName>אלמליח ואח' נ' מנהל מיסוי מקרקעין ירושלים</CaseName>
        <FullAddress>החבצלת 12ב בית שמש </FullAddress>
        <MotionID>0</MotionID>
        <CasePleaID>0</CasePleaID>
        <FatherName>יחזקיאל</FatherName>
        <LinkedCaseID>0</LinkedCaseID>
        <PartyID>1</PartyID>
        <CasePartyCategoryID>2</CasePartyCategoryID>
        <LegalEntityAddressID>84976955</LegalEntityAddressID>
        <PleaTypeID>18</PleaTypeID>
        <GroupPartyAlias>עוררים</GroupPartyAlias>
        <IsConverted>false</IsConverted>
        <LegalEntityRegisteredNameID>6039259</LegalEntityRegisteredNameID>
        <LegalEntityNameID>91097289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מישל פיי אלמליח</PublicationProhibitedFullName>
      </CaseParties>
    </CasePartiesSelectionDS>
    <CaseName>אלמליח ואח' נ' מנהל מיסוי מקרקעין ירושלים</CaseName>
    <CaseDisplayIdentifier>34243-03-21</CaseDisplayIdentifier>
    <CaseInterestID>28</CaseInterestID>
    <CaseTypeShortName>ו"ע</CaseTypeShortName>
  </dt_DecisionCase>
  <dt_DecisionJudgePanel>
    <JudgeID>055121115@GOV.IL</JudgeID>
    <DisplayName>אביגדור דורות</DisplayName>
    <RoleName>שופט</RoleName>
    <UserTitleName>שופט</UserTitleName>
  </dt_DecisionJudgePanel>
  <dt_LegalEntityDetails>
    <Fax/>
    <Phone/>
    <AddressDesc/>
    <PartyID>1</PartyID>
    <PartyTypeID>3</PartyTypeID>
    <DecisionID>0</DecisionID>
    <AssistantRoleID>112</AssistantRoleID>
    <StreetName/>
    <CityName>ירושלים</CityName>
    <FullName>שלמה מהדלה</FullName>
    <Email>madhala100@gmail.com</Email>
    <IsPublicationProhibited>false</IsPublicationProhibited>
  </dt_LegalEntityDetails>
  <dt_LegalEntityDetails>
    <Fax/>
    <Phone/>
    <AddressDesc/>
    <PartyID>1</PartyID>
    <PartyTypeID>3</PartyTypeID>
    <DecisionID>0</DecisionID>
    <AssistantRoleID>112</AssistantRoleID>
    <StreetName/>
    <CityName>ירושלים</CityName>
    <FullName>אריאלה אקשטיין</FullName>
    <Email>arielaek@gmail.com</Email>
    <IsPublicationProhibited>false</IsPublicationProhibited>
  </dt_LegalEntityDetails>
  <dt_LegalEntityDetails>
    <PartyID>1</PartyID>
    <PartyTypeID>1</PartyTypeID>
    <DecisionID>0</DecisionID>
    <StreetName>החבצלת 12ב</StreetName>
    <CityName>בית שמש</CityName>
    <FullName>גיל יחיאל אלמליח</FullName>
    <IsPublicationProhibited>false</IsPublicationProhibited>
  </dt_LegalEntityDetails>
  <dt_LegalEntityDetails>
    <Fax>02-9950666</Fax>
    <Phone>02-6744467</Phone>
    <PartyID>1</PartyID>
    <PartyTypeID>2</PartyTypeID>
    <DecisionID>0</DecisionID>
    <StreetName>-</StreetName>
    <ZipCode>9777401</ZipCode>
    <CityName>ירושלים</CityName>
    <FullName>שלומי אשכנזי</FullName>
    <Email>shla.adv@gmail.com</Email>
    <IsPublicationProhibited>false</IsPublicationProhibited>
  </dt_LegalEntityDetails>
  <dt_LegalEntityDetails>
    <AddressDesc>גבעת שאול</AddressDesc>
    <PartyID>2</PartyID>
    <PartyTypeID>1</PartyTypeID>
    <DecisionID>0</DecisionID>
    <StreetName>כנפי נשרים 66</StreetName>
    <ZipCode>91342</ZipCode>
    <CityName>ירושלים</CityName>
    <FullName> מנהל מיסוי מקרקעין ירושלים</FullName>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MIN-jer@justice.gov.il</Email>
    <IsPublicationProhibited>false</IsPublicationProhibited>
  </dt_LegalEntityDetails>
  <dt_LegalEntityDetails>
    <PartyID>1</PartyID>
    <PartyTypeID>1</PartyTypeID>
    <DecisionID>0</DecisionID>
    <StreetName>החבצלת 12ב</StreetName>
    <CityName>בית שמש</CityName>
    <FullName>מישל פיי אלמליח</FullName>
    <IsPublicationProhibited>false</IsPublicationProhibited>
  </dt_LegalEntityDetails>
  <dt_CaseJudicalPersonActive>
    <CaseJudicalPerson>שופט אביגדור דורות</CaseJudicalPerson>
  </dt_CaseJudicalPersonActive>
  <dt_Sitting>
    <PreviousMeetingDate>2021-10-14T09:00:00+03:00</PreviousMeetingDate>
    <PreviousSittingTypeID>1</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7FEC4-C26B-45A6-AB80-4AF9899CA3D7}">
  <ds:schemaRefs/>
</ds:datastoreItem>
</file>

<file path=customXml/itemProps2.xml><?xml version="1.0" encoding="utf-8"?>
<ds:datastoreItem xmlns:ds="http://schemas.openxmlformats.org/officeDocument/2006/customXml" ds:itemID="{5B1EAB9E-CD1E-4909-A857-AAA9652A1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5577</Words>
  <Characters>27890</Characters>
  <Application>Microsoft Office Word</Application>
  <DocSecurity>0</DocSecurity>
  <Lines>232</Lines>
  <Paragraphs>66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2024-10-10T06:47:00Z</cp:lastPrinted>
  <dcterms:created xsi:type="dcterms:W3CDTF">2024-10-29T09:42:00Z</dcterms:created>
  <dcterms:modified xsi:type="dcterms:W3CDTF">2024-10-29T09:42:00Z</dcterms:modified>
</cp:coreProperties>
</file>